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513"/>
        <w:gridCol w:w="4513"/>
      </w:tblGrid>
      <w:tr w:rsidR="00D56E35" w:rsidRPr="00D56E35" w:rsidTr="00D56E35">
        <w:trPr>
          <w:tblCellSpacing w:w="0" w:type="dxa"/>
        </w:trPr>
        <w:tc>
          <w:tcPr>
            <w:tcW w:w="0" w:type="auto"/>
            <w:vAlign w:val="center"/>
            <w:hideMark/>
          </w:tcPr>
          <w:p w:rsidR="00D56E35" w:rsidRPr="00D56E35" w:rsidRDefault="00D56E35" w:rsidP="0002450F"/>
        </w:tc>
        <w:tc>
          <w:tcPr>
            <w:tcW w:w="0" w:type="auto"/>
            <w:vAlign w:val="center"/>
            <w:hideMark/>
          </w:tcPr>
          <w:p w:rsidR="00D56E35" w:rsidRPr="00D56E35" w:rsidRDefault="00D56E35" w:rsidP="0002450F"/>
        </w:tc>
      </w:tr>
    </w:tbl>
    <w:p w:rsidR="00D56E35" w:rsidRDefault="00491013" w:rsidP="0002450F">
      <w:pPr>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27.25pt;height:56.25pt">
            <v:imagedata r:id="rId8" o:title="D11 2281819  AER Logo Outlined type Large colour"/>
          </v:shape>
        </w:pict>
      </w:r>
    </w:p>
    <w:p w:rsidR="00833B95" w:rsidRPr="003E738B" w:rsidRDefault="00465380" w:rsidP="003E738B">
      <w:pPr>
        <w:pStyle w:val="AERtitle1"/>
      </w:pPr>
      <w:r w:rsidRPr="003E738B">
        <w:t>Expenditure Forecast Assessment Guidelines</w:t>
      </w:r>
      <w:r w:rsidR="0064386B" w:rsidRPr="003E738B">
        <w:t xml:space="preserve"> </w:t>
      </w:r>
      <w:r w:rsidR="00816593" w:rsidRPr="003E738B">
        <w:t xml:space="preserve">Working Group meeting </w:t>
      </w:r>
      <w:r w:rsidR="008D1B47" w:rsidRPr="003E738B">
        <w:t xml:space="preserve">No. </w:t>
      </w:r>
      <w:r w:rsidR="00C7581A" w:rsidRPr="003E738B">
        <w:t>7</w:t>
      </w:r>
    </w:p>
    <w:p w:rsidR="00833B95" w:rsidRPr="003E738B" w:rsidRDefault="003E738B" w:rsidP="003E738B">
      <w:pPr>
        <w:pStyle w:val="Heading1"/>
      </w:pPr>
      <w:r w:rsidRPr="003E738B">
        <w:t xml:space="preserve">Summary of meeting - </w:t>
      </w:r>
      <w:r w:rsidR="008D1B47" w:rsidRPr="003E738B">
        <w:t>19</w:t>
      </w:r>
      <w:r w:rsidR="008F1687" w:rsidRPr="003E738B">
        <w:t xml:space="preserve"> March </w:t>
      </w:r>
      <w:r w:rsidR="00833B95" w:rsidRPr="003E738B">
        <w:t>2013</w:t>
      </w:r>
    </w:p>
    <w:p w:rsidR="003E738B" w:rsidRPr="003E738B" w:rsidRDefault="003E738B" w:rsidP="003E738B">
      <w:pPr>
        <w:pStyle w:val="AERtitle1"/>
        <w:jc w:val="left"/>
        <w:rPr>
          <w:rFonts w:ascii="Cambria" w:hAnsi="Cambria"/>
          <w:bCs/>
          <w:i/>
          <w:iCs/>
          <w:sz w:val="28"/>
          <w:szCs w:val="28"/>
          <w:lang w:eastAsia="en-US"/>
        </w:rPr>
      </w:pPr>
      <w:r w:rsidRPr="003E738B">
        <w:rPr>
          <w:rFonts w:ascii="Cambria" w:hAnsi="Cambria"/>
          <w:bCs/>
          <w:i/>
          <w:iCs/>
          <w:sz w:val="28"/>
          <w:szCs w:val="28"/>
          <w:lang w:eastAsia="en-US"/>
        </w:rPr>
        <w:t>Category assessment – connections and customer driven works</w:t>
      </w:r>
    </w:p>
    <w:p w:rsidR="006E0B37" w:rsidRPr="003E738B" w:rsidRDefault="006E0B37" w:rsidP="003E738B">
      <w:pPr>
        <w:pStyle w:val="AERtitle1"/>
        <w:jc w:val="left"/>
        <w:rPr>
          <w:rFonts w:ascii="Cambria" w:hAnsi="Cambria"/>
          <w:bCs/>
          <w:i/>
          <w:iCs/>
          <w:sz w:val="28"/>
          <w:szCs w:val="28"/>
          <w:lang w:eastAsia="en-US"/>
        </w:rPr>
      </w:pPr>
      <w:r w:rsidRPr="003E738B">
        <w:rPr>
          <w:rFonts w:ascii="Cambria" w:hAnsi="Cambria"/>
          <w:bCs/>
          <w:i/>
          <w:iCs/>
          <w:sz w:val="28"/>
          <w:szCs w:val="28"/>
          <w:lang w:eastAsia="en-US"/>
        </w:rPr>
        <w:t xml:space="preserve">Held </w:t>
      </w:r>
      <w:r w:rsidR="004757FD" w:rsidRPr="003E738B">
        <w:rPr>
          <w:rFonts w:ascii="Cambria" w:hAnsi="Cambria"/>
          <w:bCs/>
          <w:i/>
          <w:iCs/>
          <w:sz w:val="28"/>
          <w:szCs w:val="28"/>
          <w:lang w:eastAsia="en-US"/>
        </w:rPr>
        <w:t xml:space="preserve">at the </w:t>
      </w:r>
      <w:r w:rsidR="008F1687" w:rsidRPr="003E738B">
        <w:rPr>
          <w:rFonts w:ascii="Cambria" w:hAnsi="Cambria"/>
          <w:bCs/>
          <w:i/>
          <w:iCs/>
          <w:sz w:val="28"/>
          <w:szCs w:val="28"/>
          <w:lang w:eastAsia="en-US"/>
        </w:rPr>
        <w:t xml:space="preserve">AER’s Melbourne </w:t>
      </w:r>
      <w:r w:rsidRPr="003E738B">
        <w:rPr>
          <w:rFonts w:ascii="Cambria" w:hAnsi="Cambria"/>
          <w:bCs/>
          <w:i/>
          <w:iCs/>
          <w:sz w:val="28"/>
          <w:szCs w:val="28"/>
          <w:lang w:eastAsia="en-US"/>
        </w:rPr>
        <w:t>offices</w:t>
      </w:r>
    </w:p>
    <w:p w:rsidR="001934EC" w:rsidRPr="003E738B" w:rsidRDefault="0079222A"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On </w:t>
      </w:r>
      <w:r w:rsidR="008D1B47" w:rsidRPr="003E738B">
        <w:rPr>
          <w:rStyle w:val="AERbody"/>
          <w:rFonts w:eastAsia="Calibri"/>
          <w:b w:val="0"/>
          <w:bCs w:val="0"/>
          <w:i w:val="0"/>
          <w:iCs w:val="0"/>
          <w:szCs w:val="22"/>
        </w:rPr>
        <w:t>19</w:t>
      </w:r>
      <w:r w:rsidR="008F1687" w:rsidRPr="003E738B">
        <w:rPr>
          <w:rStyle w:val="AERbody"/>
          <w:rFonts w:eastAsia="Calibri"/>
          <w:b w:val="0"/>
          <w:bCs w:val="0"/>
          <w:i w:val="0"/>
          <w:iCs w:val="0"/>
          <w:szCs w:val="22"/>
        </w:rPr>
        <w:t xml:space="preserve"> March</w:t>
      </w:r>
      <w:r w:rsidRPr="003E738B">
        <w:rPr>
          <w:rStyle w:val="AERbody"/>
          <w:rFonts w:eastAsia="Calibri"/>
          <w:b w:val="0"/>
          <w:bCs w:val="0"/>
          <w:i w:val="0"/>
          <w:iCs w:val="0"/>
          <w:szCs w:val="22"/>
        </w:rPr>
        <w:t xml:space="preserve"> 2013</w:t>
      </w:r>
      <w:r w:rsidR="003559A5" w:rsidRPr="003E738B">
        <w:rPr>
          <w:rStyle w:val="AERbody"/>
          <w:rFonts w:eastAsia="Calibri"/>
          <w:b w:val="0"/>
          <w:bCs w:val="0"/>
          <w:i w:val="0"/>
          <w:iCs w:val="0"/>
          <w:szCs w:val="22"/>
        </w:rPr>
        <w:t>, the AER,</w:t>
      </w:r>
      <w:r w:rsidRPr="003E738B">
        <w:rPr>
          <w:rStyle w:val="AERbody"/>
          <w:rFonts w:eastAsia="Calibri"/>
          <w:b w:val="0"/>
          <w:bCs w:val="0"/>
          <w:i w:val="0"/>
          <w:iCs w:val="0"/>
          <w:szCs w:val="22"/>
        </w:rPr>
        <w:t xml:space="preserve"> </w:t>
      </w:r>
      <w:r w:rsidR="00A30034" w:rsidRPr="003E738B">
        <w:rPr>
          <w:rStyle w:val="AERbody"/>
          <w:rFonts w:eastAsia="Calibri"/>
          <w:b w:val="0"/>
          <w:bCs w:val="0"/>
          <w:i w:val="0"/>
          <w:iCs w:val="0"/>
          <w:szCs w:val="22"/>
        </w:rPr>
        <w:t>as</w:t>
      </w:r>
      <w:r w:rsidR="003559A5" w:rsidRPr="003E738B">
        <w:rPr>
          <w:rStyle w:val="AERbody"/>
          <w:rFonts w:eastAsia="Calibri"/>
          <w:b w:val="0"/>
          <w:bCs w:val="0"/>
          <w:i w:val="0"/>
          <w:iCs w:val="0"/>
          <w:szCs w:val="22"/>
        </w:rPr>
        <w:t xml:space="preserve"> </w:t>
      </w:r>
      <w:r w:rsidR="00A30034" w:rsidRPr="003E738B">
        <w:rPr>
          <w:rStyle w:val="AERbody"/>
          <w:rFonts w:eastAsia="Calibri"/>
          <w:b w:val="0"/>
          <w:bCs w:val="0"/>
          <w:i w:val="0"/>
          <w:iCs w:val="0"/>
          <w:szCs w:val="22"/>
        </w:rPr>
        <w:t xml:space="preserve">part of </w:t>
      </w:r>
      <w:r w:rsidR="003559A5" w:rsidRPr="003E738B">
        <w:rPr>
          <w:rStyle w:val="AERbody"/>
          <w:rFonts w:eastAsia="Calibri"/>
          <w:b w:val="0"/>
          <w:bCs w:val="0"/>
          <w:i w:val="0"/>
          <w:iCs w:val="0"/>
          <w:szCs w:val="22"/>
        </w:rPr>
        <w:t>its</w:t>
      </w:r>
      <w:r w:rsidR="00A30034" w:rsidRPr="003E738B">
        <w:rPr>
          <w:rStyle w:val="AERbody"/>
          <w:rFonts w:eastAsia="Calibri"/>
          <w:b w:val="0"/>
          <w:bCs w:val="0"/>
          <w:i w:val="0"/>
          <w:iCs w:val="0"/>
          <w:szCs w:val="22"/>
        </w:rPr>
        <w:t xml:space="preserve"> Better Regulation package</w:t>
      </w:r>
      <w:r w:rsidR="003559A5" w:rsidRPr="003E738B">
        <w:rPr>
          <w:rStyle w:val="AERbody"/>
          <w:rFonts w:eastAsia="Calibri"/>
          <w:b w:val="0"/>
          <w:bCs w:val="0"/>
          <w:i w:val="0"/>
          <w:iCs w:val="0"/>
          <w:szCs w:val="22"/>
        </w:rPr>
        <w:t xml:space="preserve">, </w:t>
      </w:r>
      <w:r w:rsidRPr="003E738B">
        <w:rPr>
          <w:rStyle w:val="AERbody"/>
          <w:rFonts w:eastAsia="Calibri"/>
          <w:b w:val="0"/>
          <w:bCs w:val="0"/>
          <w:i w:val="0"/>
          <w:iCs w:val="0"/>
          <w:szCs w:val="22"/>
        </w:rPr>
        <w:t xml:space="preserve">hosted a </w:t>
      </w:r>
      <w:r w:rsidR="00816593" w:rsidRPr="003E738B">
        <w:rPr>
          <w:rStyle w:val="AERbody"/>
          <w:rFonts w:eastAsia="Calibri"/>
          <w:b w:val="0"/>
          <w:bCs w:val="0"/>
          <w:i w:val="0"/>
          <w:iCs w:val="0"/>
          <w:szCs w:val="22"/>
        </w:rPr>
        <w:t xml:space="preserve">working group meeting </w:t>
      </w:r>
      <w:r w:rsidRPr="003E738B">
        <w:rPr>
          <w:rStyle w:val="AERbody"/>
          <w:rFonts w:eastAsia="Calibri"/>
          <w:b w:val="0"/>
          <w:bCs w:val="0"/>
          <w:i w:val="0"/>
          <w:iCs w:val="0"/>
          <w:szCs w:val="22"/>
        </w:rPr>
        <w:t xml:space="preserve">on the development of the </w:t>
      </w:r>
      <w:r w:rsidR="006B4BB9" w:rsidRPr="003E738B">
        <w:rPr>
          <w:rStyle w:val="AERbody"/>
          <w:rFonts w:eastAsia="Calibri"/>
          <w:b w:val="0"/>
          <w:bCs w:val="0"/>
          <w:i w:val="0"/>
          <w:iCs w:val="0"/>
          <w:szCs w:val="22"/>
        </w:rPr>
        <w:t>Expenditure</w:t>
      </w:r>
      <w:r w:rsidRPr="003E738B">
        <w:rPr>
          <w:rStyle w:val="AERbody"/>
          <w:rFonts w:eastAsia="Calibri"/>
          <w:b w:val="0"/>
          <w:bCs w:val="0"/>
          <w:i w:val="0"/>
          <w:iCs w:val="0"/>
          <w:szCs w:val="22"/>
        </w:rPr>
        <w:t xml:space="preserve"> </w:t>
      </w:r>
      <w:r w:rsidR="00156BC5" w:rsidRPr="003E738B">
        <w:rPr>
          <w:rStyle w:val="AERbody"/>
          <w:rFonts w:eastAsia="Calibri"/>
          <w:b w:val="0"/>
          <w:bCs w:val="0"/>
          <w:i w:val="0"/>
          <w:iCs w:val="0"/>
          <w:szCs w:val="22"/>
        </w:rPr>
        <w:t>forecast assessment g</w:t>
      </w:r>
      <w:r w:rsidRPr="003E738B">
        <w:rPr>
          <w:rStyle w:val="AERbody"/>
          <w:rFonts w:eastAsia="Calibri"/>
          <w:b w:val="0"/>
          <w:bCs w:val="0"/>
          <w:i w:val="0"/>
          <w:iCs w:val="0"/>
          <w:szCs w:val="22"/>
        </w:rPr>
        <w:t>uidelines</w:t>
      </w:r>
      <w:r w:rsidR="00855FB1" w:rsidRPr="003E738B">
        <w:rPr>
          <w:rStyle w:val="AERbody"/>
          <w:rFonts w:eastAsia="Calibri"/>
          <w:b w:val="0"/>
          <w:bCs w:val="0"/>
          <w:i w:val="0"/>
          <w:iCs w:val="0"/>
          <w:szCs w:val="22"/>
        </w:rPr>
        <w:t xml:space="preserve"> (the Guidelines)</w:t>
      </w:r>
      <w:r w:rsidRPr="003E738B">
        <w:rPr>
          <w:rStyle w:val="AERbody"/>
          <w:rFonts w:eastAsia="Calibri"/>
          <w:b w:val="0"/>
          <w:bCs w:val="0"/>
          <w:i w:val="0"/>
          <w:iCs w:val="0"/>
          <w:szCs w:val="22"/>
        </w:rPr>
        <w:t xml:space="preserve">. </w:t>
      </w:r>
      <w:r w:rsidR="0086601F" w:rsidRPr="003E738B">
        <w:rPr>
          <w:rStyle w:val="AERbody"/>
          <w:rFonts w:eastAsia="Calibri"/>
          <w:b w:val="0"/>
          <w:bCs w:val="0"/>
          <w:i w:val="0"/>
          <w:iCs w:val="0"/>
          <w:szCs w:val="22"/>
        </w:rPr>
        <w:t xml:space="preserve">The </w:t>
      </w:r>
      <w:r w:rsidR="00816593" w:rsidRPr="003E738B">
        <w:rPr>
          <w:rStyle w:val="AERbody"/>
          <w:rFonts w:eastAsia="Calibri"/>
          <w:b w:val="0"/>
          <w:bCs w:val="0"/>
          <w:i w:val="0"/>
          <w:iCs w:val="0"/>
          <w:szCs w:val="22"/>
        </w:rPr>
        <w:t xml:space="preserve">meeting </w:t>
      </w:r>
      <w:r w:rsidR="0086601F" w:rsidRPr="003E738B">
        <w:rPr>
          <w:rStyle w:val="AERbody"/>
          <w:rFonts w:eastAsia="Calibri"/>
          <w:b w:val="0"/>
          <w:bCs w:val="0"/>
          <w:i w:val="0"/>
          <w:iCs w:val="0"/>
          <w:szCs w:val="22"/>
        </w:rPr>
        <w:t xml:space="preserve">was chaired by AER </w:t>
      </w:r>
      <w:r w:rsidR="008D1B47" w:rsidRPr="003E738B">
        <w:rPr>
          <w:rStyle w:val="AERbody"/>
          <w:rFonts w:eastAsia="Calibri"/>
          <w:b w:val="0"/>
          <w:bCs w:val="0"/>
          <w:i w:val="0"/>
          <w:iCs w:val="0"/>
          <w:szCs w:val="22"/>
        </w:rPr>
        <w:t xml:space="preserve">Assistant </w:t>
      </w:r>
      <w:r w:rsidR="008F1687" w:rsidRPr="003E738B">
        <w:rPr>
          <w:rStyle w:val="AERbody"/>
          <w:rFonts w:eastAsia="Calibri"/>
          <w:b w:val="0"/>
          <w:bCs w:val="0"/>
          <w:i w:val="0"/>
          <w:iCs w:val="0"/>
          <w:szCs w:val="22"/>
        </w:rPr>
        <w:t>Director</w:t>
      </w:r>
      <w:r w:rsidR="00C66C8E" w:rsidRPr="003E738B">
        <w:rPr>
          <w:rStyle w:val="AERbody"/>
          <w:rFonts w:eastAsia="Calibri"/>
          <w:b w:val="0"/>
          <w:bCs w:val="0"/>
          <w:i w:val="0"/>
          <w:iCs w:val="0"/>
          <w:szCs w:val="22"/>
        </w:rPr>
        <w:t>,</w:t>
      </w:r>
      <w:r w:rsidR="008D1B47" w:rsidRPr="003E738B">
        <w:rPr>
          <w:rStyle w:val="AERbody"/>
          <w:rFonts w:eastAsia="Calibri"/>
          <w:b w:val="0"/>
          <w:bCs w:val="0"/>
          <w:i w:val="0"/>
          <w:iCs w:val="0"/>
          <w:szCs w:val="22"/>
        </w:rPr>
        <w:t xml:space="preserve"> Esmond Smith</w:t>
      </w:r>
      <w:r w:rsidR="0086601F" w:rsidRPr="003E738B">
        <w:rPr>
          <w:rStyle w:val="AERbody"/>
          <w:rFonts w:eastAsia="Calibri"/>
          <w:b w:val="0"/>
          <w:bCs w:val="0"/>
          <w:i w:val="0"/>
          <w:iCs w:val="0"/>
          <w:szCs w:val="22"/>
        </w:rPr>
        <w:t xml:space="preserve">. </w:t>
      </w:r>
      <w:r w:rsidR="001934EC" w:rsidRPr="003E738B">
        <w:rPr>
          <w:rStyle w:val="AERbody"/>
          <w:rFonts w:eastAsia="Calibri"/>
          <w:b w:val="0"/>
          <w:bCs w:val="0"/>
          <w:i w:val="0"/>
          <w:iCs w:val="0"/>
          <w:szCs w:val="22"/>
        </w:rPr>
        <w:t>A full attendee list can be found in Attachment A.</w:t>
      </w:r>
    </w:p>
    <w:p w:rsidR="000F582B" w:rsidRPr="003E738B" w:rsidRDefault="006E0B37"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This </w:t>
      </w:r>
      <w:r w:rsidR="0086601F" w:rsidRPr="003E738B">
        <w:rPr>
          <w:rStyle w:val="AERbody"/>
          <w:rFonts w:eastAsia="Calibri"/>
          <w:b w:val="0"/>
          <w:bCs w:val="0"/>
          <w:i w:val="0"/>
          <w:iCs w:val="0"/>
          <w:szCs w:val="22"/>
        </w:rPr>
        <w:t>summary</w:t>
      </w:r>
      <w:r w:rsidRPr="003E738B">
        <w:rPr>
          <w:rStyle w:val="AERbody"/>
          <w:rFonts w:eastAsia="Calibri"/>
          <w:b w:val="0"/>
          <w:bCs w:val="0"/>
          <w:i w:val="0"/>
          <w:iCs w:val="0"/>
          <w:szCs w:val="22"/>
        </w:rPr>
        <w:t xml:space="preserve"> outlines the </w:t>
      </w:r>
      <w:r w:rsidR="0086601F" w:rsidRPr="003E738B">
        <w:rPr>
          <w:rStyle w:val="AERbody"/>
          <w:rFonts w:eastAsia="Calibri"/>
          <w:b w:val="0"/>
          <w:bCs w:val="0"/>
          <w:i w:val="0"/>
          <w:iCs w:val="0"/>
          <w:szCs w:val="22"/>
        </w:rPr>
        <w:t>key topics and themes</w:t>
      </w:r>
      <w:r w:rsidRPr="003E738B">
        <w:rPr>
          <w:rStyle w:val="AERbody"/>
          <w:rFonts w:eastAsia="Calibri"/>
          <w:b w:val="0"/>
          <w:bCs w:val="0"/>
          <w:i w:val="0"/>
          <w:iCs w:val="0"/>
          <w:szCs w:val="22"/>
        </w:rPr>
        <w:t xml:space="preserve"> of the meeting, including views expressed </w:t>
      </w:r>
      <w:r w:rsidR="003559A5" w:rsidRPr="003E738B">
        <w:rPr>
          <w:rStyle w:val="AERbody"/>
          <w:rFonts w:eastAsia="Calibri"/>
          <w:b w:val="0"/>
          <w:bCs w:val="0"/>
          <w:i w:val="0"/>
          <w:iCs w:val="0"/>
          <w:szCs w:val="22"/>
        </w:rPr>
        <w:t xml:space="preserve">at the </w:t>
      </w:r>
      <w:r w:rsidR="00816593" w:rsidRPr="003E738B">
        <w:rPr>
          <w:rStyle w:val="AERbody"/>
          <w:rFonts w:eastAsia="Calibri"/>
          <w:b w:val="0"/>
          <w:bCs w:val="0"/>
          <w:i w:val="0"/>
          <w:iCs w:val="0"/>
          <w:szCs w:val="22"/>
        </w:rPr>
        <w:t>meeting</w:t>
      </w:r>
      <w:r w:rsidRPr="003E738B">
        <w:rPr>
          <w:rStyle w:val="AERbody"/>
          <w:rFonts w:eastAsia="Calibri"/>
          <w:b w:val="0"/>
          <w:bCs w:val="0"/>
          <w:i w:val="0"/>
          <w:iCs w:val="0"/>
          <w:szCs w:val="22"/>
        </w:rPr>
        <w:t xml:space="preserve">, without </w:t>
      </w:r>
      <w:r w:rsidR="003559A5" w:rsidRPr="003E738B">
        <w:rPr>
          <w:rStyle w:val="AERbody"/>
          <w:rFonts w:eastAsia="Calibri"/>
          <w:b w:val="0"/>
          <w:bCs w:val="0"/>
          <w:i w:val="0"/>
          <w:iCs w:val="0"/>
          <w:szCs w:val="22"/>
        </w:rPr>
        <w:t>ascribing</w:t>
      </w:r>
      <w:r w:rsidRPr="003E738B">
        <w:rPr>
          <w:rStyle w:val="AERbody"/>
          <w:rFonts w:eastAsia="Calibri"/>
          <w:b w:val="0"/>
          <w:bCs w:val="0"/>
          <w:i w:val="0"/>
          <w:iCs w:val="0"/>
          <w:szCs w:val="22"/>
        </w:rPr>
        <w:t xml:space="preserve"> particular comments to any one individual or organisation.</w:t>
      </w:r>
      <w:r w:rsidR="00C93043" w:rsidRPr="003E738B">
        <w:rPr>
          <w:rStyle w:val="AERbody"/>
          <w:rFonts w:eastAsia="Calibri"/>
          <w:b w:val="0"/>
          <w:bCs w:val="0"/>
          <w:i w:val="0"/>
          <w:iCs w:val="0"/>
          <w:szCs w:val="22"/>
        </w:rPr>
        <w:t xml:space="preserve"> The outline </w:t>
      </w:r>
      <w:r w:rsidR="009521DD" w:rsidRPr="003E738B">
        <w:rPr>
          <w:rStyle w:val="AERbody"/>
          <w:rFonts w:eastAsia="Calibri"/>
          <w:b w:val="0"/>
          <w:bCs w:val="0"/>
          <w:i w:val="0"/>
          <w:iCs w:val="0"/>
          <w:szCs w:val="22"/>
        </w:rPr>
        <w:t xml:space="preserve">broadly </w:t>
      </w:r>
      <w:r w:rsidR="00C93043" w:rsidRPr="003E738B">
        <w:rPr>
          <w:rStyle w:val="AERbody"/>
          <w:rFonts w:eastAsia="Calibri"/>
          <w:b w:val="0"/>
          <w:bCs w:val="0"/>
          <w:i w:val="0"/>
          <w:iCs w:val="0"/>
          <w:szCs w:val="22"/>
        </w:rPr>
        <w:t>follows that of the agenda.</w:t>
      </w:r>
    </w:p>
    <w:p w:rsidR="00E50CA5" w:rsidRPr="003E738B" w:rsidRDefault="00E50CA5" w:rsidP="003E738B">
      <w:pPr>
        <w:pStyle w:val="Heading2"/>
        <w:rPr>
          <w:rStyle w:val="AERbody"/>
          <w:rFonts w:asciiTheme="majorHAnsi" w:eastAsia="Calibri" w:hAnsiTheme="majorHAnsi"/>
          <w:bCs w:val="0"/>
          <w:iCs w:val="0"/>
          <w:sz w:val="28"/>
        </w:rPr>
      </w:pPr>
      <w:r w:rsidRPr="003E738B">
        <w:rPr>
          <w:rStyle w:val="AERbody"/>
          <w:rFonts w:asciiTheme="majorHAnsi" w:eastAsia="Calibri" w:hAnsiTheme="majorHAnsi"/>
          <w:bCs w:val="0"/>
          <w:iCs w:val="0"/>
          <w:sz w:val="28"/>
        </w:rPr>
        <w:t>1</w:t>
      </w:r>
      <w:r w:rsidRPr="003E738B">
        <w:rPr>
          <w:rStyle w:val="AERbody"/>
          <w:rFonts w:asciiTheme="majorHAnsi" w:eastAsia="Calibri" w:hAnsiTheme="majorHAnsi"/>
          <w:bCs w:val="0"/>
          <w:iCs w:val="0"/>
          <w:sz w:val="28"/>
        </w:rPr>
        <w:tab/>
        <w:t>Introductions</w:t>
      </w:r>
    </w:p>
    <w:p w:rsidR="00071FC9" w:rsidRPr="003E738B" w:rsidRDefault="00036F16"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In this workshop, AER </w:t>
      </w:r>
      <w:r w:rsidR="00816593" w:rsidRPr="003E738B">
        <w:rPr>
          <w:rStyle w:val="AERbody"/>
          <w:rFonts w:eastAsia="Calibri"/>
          <w:b w:val="0"/>
          <w:bCs w:val="0"/>
          <w:i w:val="0"/>
          <w:iCs w:val="0"/>
          <w:szCs w:val="22"/>
        </w:rPr>
        <w:t xml:space="preserve">staff </w:t>
      </w:r>
      <w:r w:rsidRPr="003E738B">
        <w:rPr>
          <w:rStyle w:val="AERbody"/>
          <w:rFonts w:eastAsia="Calibri"/>
          <w:b w:val="0"/>
          <w:bCs w:val="0"/>
          <w:i w:val="0"/>
          <w:iCs w:val="0"/>
          <w:szCs w:val="22"/>
        </w:rPr>
        <w:t>sought feedback from stakeholders on the information</w:t>
      </w:r>
      <w:r w:rsidR="008D1B47" w:rsidRPr="003E738B">
        <w:rPr>
          <w:rStyle w:val="AERbody"/>
          <w:rFonts w:eastAsia="Calibri"/>
          <w:b w:val="0"/>
          <w:bCs w:val="0"/>
          <w:i w:val="0"/>
          <w:iCs w:val="0"/>
          <w:szCs w:val="22"/>
        </w:rPr>
        <w:t xml:space="preserve"> it could require to assess forecasts of both volumes and cost associated with connections and customer driven works</w:t>
      </w:r>
      <w:r w:rsidRPr="003E738B">
        <w:rPr>
          <w:rStyle w:val="AERbody"/>
          <w:rFonts w:eastAsia="Calibri"/>
          <w:b w:val="0"/>
          <w:bCs w:val="0"/>
          <w:i w:val="0"/>
          <w:iCs w:val="0"/>
          <w:szCs w:val="22"/>
        </w:rPr>
        <w:t>.</w:t>
      </w:r>
      <w:r w:rsidR="008D1B47" w:rsidRPr="003E738B">
        <w:rPr>
          <w:rStyle w:val="AERbody"/>
          <w:rFonts w:eastAsia="Calibri"/>
          <w:b w:val="0"/>
          <w:bCs w:val="0"/>
          <w:i w:val="0"/>
          <w:iCs w:val="0"/>
          <w:szCs w:val="22"/>
        </w:rPr>
        <w:t xml:space="preserve"> This workshop was for Transmission network service providers (TNSPs). </w:t>
      </w:r>
    </w:p>
    <w:p w:rsidR="00F6756B" w:rsidRPr="003E738B" w:rsidRDefault="008D1B47"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The focus of the meeting was on three things:</w:t>
      </w:r>
      <w:r w:rsidR="00071FC9" w:rsidRPr="003E738B">
        <w:rPr>
          <w:rStyle w:val="AERbody"/>
          <w:rFonts w:eastAsia="Calibri"/>
          <w:b w:val="0"/>
          <w:bCs w:val="0"/>
          <w:i w:val="0"/>
          <w:iCs w:val="0"/>
          <w:szCs w:val="22"/>
        </w:rPr>
        <w:t xml:space="preserve"> t</w:t>
      </w:r>
      <w:r w:rsidRPr="003E738B">
        <w:rPr>
          <w:rStyle w:val="AERbody"/>
          <w:rFonts w:eastAsia="Calibri"/>
          <w:b w:val="0"/>
          <w:bCs w:val="0"/>
          <w:i w:val="0"/>
          <w:iCs w:val="0"/>
          <w:szCs w:val="22"/>
        </w:rPr>
        <w:t>he category definitions of different types/scale of connection</w:t>
      </w:r>
      <w:r w:rsidR="00071FC9" w:rsidRPr="003E738B">
        <w:rPr>
          <w:rStyle w:val="AERbody"/>
          <w:rFonts w:eastAsia="Calibri"/>
          <w:b w:val="0"/>
          <w:bCs w:val="0"/>
          <w:i w:val="0"/>
          <w:iCs w:val="0"/>
          <w:szCs w:val="22"/>
        </w:rPr>
        <w:t>; t</w:t>
      </w:r>
      <w:r w:rsidRPr="003E738B">
        <w:rPr>
          <w:rStyle w:val="AERbody"/>
          <w:rFonts w:eastAsia="Calibri"/>
          <w:b w:val="0"/>
          <w:bCs w:val="0"/>
          <w:i w:val="0"/>
          <w:iCs w:val="0"/>
          <w:szCs w:val="22"/>
        </w:rPr>
        <w:t xml:space="preserve">he key cost drivers that </w:t>
      </w:r>
      <w:r w:rsidR="00F6756B" w:rsidRPr="003E738B">
        <w:rPr>
          <w:rStyle w:val="AERbody"/>
          <w:rFonts w:eastAsia="Calibri"/>
          <w:b w:val="0"/>
          <w:bCs w:val="0"/>
          <w:i w:val="0"/>
          <w:iCs w:val="0"/>
          <w:szCs w:val="22"/>
        </w:rPr>
        <w:t xml:space="preserve">could or </w:t>
      </w:r>
      <w:r w:rsidRPr="003E738B">
        <w:rPr>
          <w:rStyle w:val="AERbody"/>
          <w:rFonts w:eastAsia="Calibri"/>
          <w:b w:val="0"/>
          <w:bCs w:val="0"/>
          <w:i w:val="0"/>
          <w:iCs w:val="0"/>
          <w:szCs w:val="22"/>
        </w:rPr>
        <w:t xml:space="preserve">should be picked up through sub category </w:t>
      </w:r>
      <w:r w:rsidR="00F6756B" w:rsidRPr="003E738B">
        <w:rPr>
          <w:rStyle w:val="AERbody"/>
          <w:rFonts w:eastAsia="Calibri"/>
          <w:b w:val="0"/>
          <w:bCs w:val="0"/>
          <w:i w:val="0"/>
          <w:iCs w:val="0"/>
          <w:szCs w:val="22"/>
        </w:rPr>
        <w:t>classifications (e.g. voltage)</w:t>
      </w:r>
      <w:r w:rsidR="00071FC9" w:rsidRPr="003E738B">
        <w:rPr>
          <w:rStyle w:val="AERbody"/>
          <w:rFonts w:eastAsia="Calibri"/>
          <w:b w:val="0"/>
          <w:bCs w:val="0"/>
          <w:i w:val="0"/>
          <w:iCs w:val="0"/>
          <w:szCs w:val="22"/>
        </w:rPr>
        <w:t>; and t</w:t>
      </w:r>
      <w:r w:rsidR="00F6756B" w:rsidRPr="003E738B">
        <w:rPr>
          <w:rStyle w:val="AERbody"/>
          <w:rFonts w:eastAsia="Calibri"/>
          <w:b w:val="0"/>
          <w:bCs w:val="0"/>
          <w:i w:val="0"/>
          <w:iCs w:val="0"/>
          <w:szCs w:val="22"/>
        </w:rPr>
        <w:t>he estimation of project costs and cost associated with key element</w:t>
      </w:r>
      <w:r w:rsidR="00123683" w:rsidRPr="003E738B">
        <w:rPr>
          <w:rStyle w:val="AERbody"/>
          <w:rFonts w:eastAsia="Calibri"/>
          <w:b w:val="0"/>
          <w:bCs w:val="0"/>
          <w:i w:val="0"/>
          <w:iCs w:val="0"/>
          <w:szCs w:val="22"/>
        </w:rPr>
        <w:t>s of projects (e.g. transformers</w:t>
      </w:r>
      <w:r w:rsidR="00F6756B" w:rsidRPr="003E738B">
        <w:rPr>
          <w:rStyle w:val="AERbody"/>
          <w:rFonts w:eastAsia="Calibri"/>
          <w:b w:val="0"/>
          <w:bCs w:val="0"/>
          <w:i w:val="0"/>
          <w:iCs w:val="0"/>
          <w:szCs w:val="22"/>
        </w:rPr>
        <w:t>)</w:t>
      </w:r>
      <w:r w:rsidR="00071FC9" w:rsidRPr="003E738B">
        <w:rPr>
          <w:rStyle w:val="AERbody"/>
          <w:rFonts w:eastAsia="Calibri"/>
          <w:b w:val="0"/>
          <w:bCs w:val="0"/>
          <w:i w:val="0"/>
          <w:iCs w:val="0"/>
          <w:szCs w:val="22"/>
        </w:rPr>
        <w:t>.</w:t>
      </w:r>
      <w:r w:rsidR="006C2F3A" w:rsidRPr="003E738B">
        <w:rPr>
          <w:rStyle w:val="AERbody"/>
          <w:rFonts w:eastAsia="Calibri"/>
          <w:b w:val="0"/>
          <w:bCs w:val="0"/>
          <w:i w:val="0"/>
          <w:iCs w:val="0"/>
          <w:szCs w:val="22"/>
        </w:rPr>
        <w:t xml:space="preserve"> AER staff indicated the intention is to collect standardised and sufficiently disaggregated data to facilitate effective benchmarking across NSPs. </w:t>
      </w:r>
    </w:p>
    <w:p w:rsidR="00BB5941" w:rsidRPr="003E738B" w:rsidRDefault="00816593"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AER staff </w:t>
      </w:r>
      <w:r w:rsidR="00F6756B" w:rsidRPr="003E738B">
        <w:rPr>
          <w:rStyle w:val="AERbody"/>
          <w:rFonts w:eastAsia="Calibri"/>
          <w:b w:val="0"/>
          <w:bCs w:val="0"/>
          <w:i w:val="0"/>
          <w:iCs w:val="0"/>
          <w:szCs w:val="22"/>
        </w:rPr>
        <w:t xml:space="preserve">indicated that the likely focus of changes from this review (for transmission) would be on developing better cost estimates and better regulatory recording out turn project (and input element) costs. This is due to the lumpy and highly unique nature of many transmission projects.  </w:t>
      </w:r>
      <w:r w:rsidR="00CE37AE" w:rsidRPr="003E738B">
        <w:rPr>
          <w:rStyle w:val="AERbody"/>
          <w:rFonts w:eastAsia="Calibri"/>
          <w:b w:val="0"/>
          <w:bCs w:val="0"/>
          <w:i w:val="0"/>
          <w:iCs w:val="0"/>
          <w:szCs w:val="22"/>
        </w:rPr>
        <w:t xml:space="preserve"> </w:t>
      </w:r>
    </w:p>
    <w:p w:rsidR="000F582B" w:rsidRPr="003E738B" w:rsidRDefault="000F582B"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AER staff indicated that comments of participants will be taken into consideration as the category work progresses and category definitions and future data requirements are further developed.</w:t>
      </w:r>
    </w:p>
    <w:p w:rsidR="00F6756B" w:rsidRDefault="00F6756B" w:rsidP="0002450F"/>
    <w:p w:rsidR="00071FC9" w:rsidRDefault="00071FC9" w:rsidP="0002450F"/>
    <w:p w:rsidR="00071FC9" w:rsidRDefault="00071FC9" w:rsidP="0002450F"/>
    <w:p w:rsidR="00071FC9" w:rsidRDefault="00071FC9" w:rsidP="0002450F"/>
    <w:p w:rsidR="007C13AD" w:rsidRPr="003E738B" w:rsidRDefault="006B4BB9" w:rsidP="003E738B">
      <w:pPr>
        <w:pStyle w:val="Heading2"/>
        <w:rPr>
          <w:rStyle w:val="AERbody"/>
          <w:rFonts w:asciiTheme="majorHAnsi" w:eastAsia="Calibri" w:hAnsiTheme="majorHAnsi"/>
          <w:bCs w:val="0"/>
          <w:iCs w:val="0"/>
          <w:sz w:val="28"/>
        </w:rPr>
      </w:pPr>
      <w:r w:rsidRPr="003E738B">
        <w:rPr>
          <w:rStyle w:val="AERbody"/>
          <w:rFonts w:asciiTheme="majorHAnsi" w:eastAsia="Calibri" w:hAnsiTheme="majorHAnsi"/>
          <w:bCs w:val="0"/>
          <w:iCs w:val="0"/>
          <w:sz w:val="28"/>
        </w:rPr>
        <w:lastRenderedPageBreak/>
        <w:t>2</w:t>
      </w:r>
      <w:r w:rsidR="007C13AD" w:rsidRPr="003E738B">
        <w:rPr>
          <w:rStyle w:val="AERbody"/>
          <w:rFonts w:asciiTheme="majorHAnsi" w:eastAsia="Calibri" w:hAnsiTheme="majorHAnsi"/>
          <w:bCs w:val="0"/>
          <w:iCs w:val="0"/>
          <w:sz w:val="28"/>
        </w:rPr>
        <w:tab/>
        <w:t xml:space="preserve">Major issues for discussion and feedback from forum </w:t>
      </w:r>
    </w:p>
    <w:p w:rsidR="004757FD" w:rsidRPr="003E738B" w:rsidRDefault="007958A2"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AER </w:t>
      </w:r>
      <w:r w:rsidR="004757FD" w:rsidRPr="003E738B">
        <w:rPr>
          <w:rStyle w:val="AERbody"/>
          <w:rFonts w:eastAsia="Calibri"/>
          <w:b w:val="0"/>
          <w:bCs w:val="0"/>
          <w:i w:val="0"/>
          <w:iCs w:val="0"/>
          <w:szCs w:val="22"/>
        </w:rPr>
        <w:t>s</w:t>
      </w:r>
      <w:r w:rsidRPr="003E738B">
        <w:rPr>
          <w:rStyle w:val="AERbody"/>
          <w:rFonts w:eastAsia="Calibri"/>
          <w:b w:val="0"/>
          <w:bCs w:val="0"/>
          <w:i w:val="0"/>
          <w:iCs w:val="0"/>
          <w:szCs w:val="22"/>
        </w:rPr>
        <w:t xml:space="preserve">taff and </w:t>
      </w:r>
      <w:r w:rsidR="004757FD" w:rsidRPr="003E738B">
        <w:rPr>
          <w:rStyle w:val="AERbody"/>
          <w:rFonts w:eastAsia="Calibri"/>
          <w:b w:val="0"/>
          <w:bCs w:val="0"/>
          <w:i w:val="0"/>
          <w:iCs w:val="0"/>
          <w:szCs w:val="22"/>
        </w:rPr>
        <w:t xml:space="preserve">meeting </w:t>
      </w:r>
      <w:r w:rsidR="00036F16" w:rsidRPr="003E738B">
        <w:rPr>
          <w:rStyle w:val="AERbody"/>
          <w:rFonts w:eastAsia="Calibri"/>
          <w:b w:val="0"/>
          <w:bCs w:val="0"/>
          <w:i w:val="0"/>
          <w:iCs w:val="0"/>
          <w:szCs w:val="22"/>
        </w:rPr>
        <w:t>participan</w:t>
      </w:r>
      <w:r w:rsidR="00F6756B" w:rsidRPr="003E738B">
        <w:rPr>
          <w:rStyle w:val="AERbody"/>
          <w:rFonts w:eastAsia="Calibri"/>
          <w:b w:val="0"/>
          <w:bCs w:val="0"/>
          <w:i w:val="0"/>
          <w:iCs w:val="0"/>
          <w:szCs w:val="22"/>
        </w:rPr>
        <w:t xml:space="preserve">ts discussed </w:t>
      </w:r>
      <w:r w:rsidR="0038670F" w:rsidRPr="003E738B">
        <w:rPr>
          <w:rStyle w:val="AERbody"/>
          <w:rFonts w:eastAsia="Calibri"/>
          <w:b w:val="0"/>
          <w:bCs w:val="0"/>
          <w:i w:val="0"/>
          <w:iCs w:val="0"/>
          <w:szCs w:val="22"/>
        </w:rPr>
        <w:t>a range of issues</w:t>
      </w:r>
      <w:r w:rsidR="004757FD" w:rsidRPr="003E738B">
        <w:rPr>
          <w:rStyle w:val="AERbody"/>
          <w:rFonts w:eastAsia="Calibri"/>
          <w:b w:val="0"/>
          <w:bCs w:val="0"/>
          <w:i w:val="0"/>
          <w:iCs w:val="0"/>
          <w:szCs w:val="22"/>
        </w:rPr>
        <w:t>, including</w:t>
      </w:r>
      <w:r w:rsidR="000765B6" w:rsidRPr="003E738B">
        <w:rPr>
          <w:rStyle w:val="AERbody"/>
          <w:rFonts w:eastAsia="Calibri"/>
          <w:b w:val="0"/>
          <w:bCs w:val="0"/>
          <w:i w:val="0"/>
          <w:iCs w:val="0"/>
          <w:szCs w:val="22"/>
        </w:rPr>
        <w:t>:</w:t>
      </w:r>
    </w:p>
    <w:p w:rsidR="00740FC2" w:rsidRPr="003E738B" w:rsidRDefault="00F6756B" w:rsidP="003E738B">
      <w:pPr>
        <w:pStyle w:val="Heading2"/>
        <w:numPr>
          <w:ilvl w:val="0"/>
          <w:numId w:val="14"/>
        </w:numPr>
        <w:rPr>
          <w:rStyle w:val="AERbody"/>
          <w:rFonts w:eastAsia="Calibri"/>
          <w:b w:val="0"/>
          <w:bCs w:val="0"/>
          <w:i w:val="0"/>
          <w:iCs w:val="0"/>
          <w:szCs w:val="22"/>
        </w:rPr>
      </w:pPr>
      <w:r w:rsidRPr="003E738B">
        <w:rPr>
          <w:rStyle w:val="AERbody"/>
          <w:rFonts w:eastAsia="Calibri"/>
          <w:b w:val="0"/>
          <w:bCs w:val="0"/>
          <w:i w:val="0"/>
          <w:iCs w:val="0"/>
          <w:szCs w:val="22"/>
        </w:rPr>
        <w:t>the scope of the prescribed services and the rele</w:t>
      </w:r>
      <w:r w:rsidR="00753E6F" w:rsidRPr="003E738B">
        <w:rPr>
          <w:rStyle w:val="AERbody"/>
          <w:rFonts w:eastAsia="Calibri"/>
          <w:b w:val="0"/>
          <w:bCs w:val="0"/>
          <w:i w:val="0"/>
          <w:iCs w:val="0"/>
          <w:szCs w:val="22"/>
        </w:rPr>
        <w:t>vance of this to information to</w:t>
      </w:r>
      <w:r w:rsidRPr="003E738B">
        <w:rPr>
          <w:rStyle w:val="AERbody"/>
          <w:rFonts w:eastAsia="Calibri"/>
          <w:b w:val="0"/>
          <w:bCs w:val="0"/>
          <w:i w:val="0"/>
          <w:iCs w:val="0"/>
          <w:szCs w:val="22"/>
        </w:rPr>
        <w:t xml:space="preserve"> be requested from TNSPs</w:t>
      </w:r>
    </w:p>
    <w:p w:rsidR="00740FC2" w:rsidRPr="003E738B" w:rsidRDefault="00F6756B" w:rsidP="003E738B">
      <w:pPr>
        <w:pStyle w:val="Heading2"/>
        <w:numPr>
          <w:ilvl w:val="0"/>
          <w:numId w:val="14"/>
        </w:numPr>
        <w:rPr>
          <w:rStyle w:val="AERbody"/>
          <w:rFonts w:eastAsia="Calibri"/>
          <w:b w:val="0"/>
          <w:bCs w:val="0"/>
          <w:i w:val="0"/>
          <w:iCs w:val="0"/>
          <w:szCs w:val="22"/>
        </w:rPr>
      </w:pPr>
      <w:r w:rsidRPr="003E738B">
        <w:rPr>
          <w:rStyle w:val="AERbody"/>
          <w:rFonts w:eastAsia="Calibri"/>
          <w:b w:val="0"/>
          <w:bCs w:val="0"/>
          <w:i w:val="0"/>
          <w:iCs w:val="0"/>
          <w:szCs w:val="22"/>
        </w:rPr>
        <w:t>what categorisations they considered relevant to driving costs</w:t>
      </w:r>
    </w:p>
    <w:p w:rsidR="004757FD" w:rsidRPr="003E738B" w:rsidRDefault="0038670F" w:rsidP="003E738B">
      <w:pPr>
        <w:pStyle w:val="Heading2"/>
        <w:numPr>
          <w:ilvl w:val="0"/>
          <w:numId w:val="14"/>
        </w:numPr>
        <w:rPr>
          <w:rFonts w:ascii="Gautami" w:eastAsia="Calibri" w:hAnsi="Gautami"/>
          <w:b w:val="0"/>
          <w:bCs w:val="0"/>
          <w:i w:val="0"/>
          <w:iCs w:val="0"/>
          <w:sz w:val="20"/>
          <w:szCs w:val="22"/>
        </w:rPr>
      </w:pPr>
      <w:r w:rsidRPr="003E738B">
        <w:rPr>
          <w:rStyle w:val="AERbody"/>
          <w:rFonts w:eastAsia="Calibri"/>
          <w:b w:val="0"/>
          <w:bCs w:val="0"/>
          <w:i w:val="0"/>
          <w:iCs w:val="0"/>
          <w:szCs w:val="22"/>
        </w:rPr>
        <w:t xml:space="preserve">what input unit costs could be supplied </w:t>
      </w:r>
      <w:r w:rsidR="00071FC9" w:rsidRPr="003E738B">
        <w:rPr>
          <w:rStyle w:val="AERbody"/>
          <w:rFonts w:eastAsia="Calibri"/>
          <w:b w:val="0"/>
          <w:bCs w:val="0"/>
          <w:i w:val="0"/>
          <w:iCs w:val="0"/>
          <w:szCs w:val="22"/>
        </w:rPr>
        <w:t>to the AER</w:t>
      </w:r>
      <w:r w:rsidR="004757FD" w:rsidRPr="003E738B">
        <w:rPr>
          <w:rStyle w:val="AERbody"/>
          <w:rFonts w:eastAsia="Calibri"/>
          <w:b w:val="0"/>
          <w:bCs w:val="0"/>
          <w:i w:val="0"/>
          <w:iCs w:val="0"/>
          <w:szCs w:val="22"/>
        </w:rPr>
        <w:t xml:space="preserve">, as well as </w:t>
      </w:r>
      <w:r w:rsidR="00071FC9" w:rsidRPr="003E738B">
        <w:rPr>
          <w:rStyle w:val="AERbody"/>
          <w:rFonts w:eastAsia="Calibri"/>
          <w:b w:val="0"/>
          <w:bCs w:val="0"/>
          <w:i w:val="0"/>
          <w:iCs w:val="0"/>
          <w:szCs w:val="22"/>
        </w:rPr>
        <w:t xml:space="preserve">the limits and </w:t>
      </w:r>
      <w:r w:rsidRPr="003E738B">
        <w:rPr>
          <w:rStyle w:val="AERbody"/>
          <w:rFonts w:eastAsia="Calibri"/>
          <w:b w:val="0"/>
          <w:bCs w:val="0"/>
          <w:i w:val="0"/>
          <w:iCs w:val="0"/>
          <w:szCs w:val="22"/>
        </w:rPr>
        <w:t>risks associated with the use and public reporting of this information</w:t>
      </w:r>
      <w:r w:rsidR="00036F16" w:rsidRPr="003E738B">
        <w:rPr>
          <w:rStyle w:val="AERbody"/>
          <w:rFonts w:eastAsia="Calibri"/>
          <w:b w:val="0"/>
          <w:bCs w:val="0"/>
          <w:i w:val="0"/>
          <w:iCs w:val="0"/>
          <w:szCs w:val="22"/>
        </w:rPr>
        <w:t>.</w:t>
      </w:r>
    </w:p>
    <w:p w:rsidR="00B6137E" w:rsidRPr="003E738B" w:rsidRDefault="0038670F" w:rsidP="003E738B">
      <w:pPr>
        <w:pStyle w:val="Heading2"/>
        <w:rPr>
          <w:rStyle w:val="AERbody"/>
          <w:rFonts w:eastAsia="Calibri"/>
          <w:bCs w:val="0"/>
          <w:i w:val="0"/>
          <w:iCs w:val="0"/>
          <w:szCs w:val="22"/>
        </w:rPr>
      </w:pPr>
      <w:r w:rsidRPr="003E738B">
        <w:rPr>
          <w:rStyle w:val="AERbody"/>
          <w:rFonts w:eastAsia="Calibri"/>
          <w:bCs w:val="0"/>
          <w:i w:val="0"/>
          <w:iCs w:val="0"/>
          <w:szCs w:val="22"/>
        </w:rPr>
        <w:t xml:space="preserve">General </w:t>
      </w:r>
      <w:r w:rsidR="000765B6" w:rsidRPr="003E738B">
        <w:rPr>
          <w:rStyle w:val="AERbody"/>
          <w:rFonts w:eastAsia="Calibri"/>
          <w:bCs w:val="0"/>
          <w:i w:val="0"/>
          <w:iCs w:val="0"/>
          <w:szCs w:val="22"/>
        </w:rPr>
        <w:t>c</w:t>
      </w:r>
      <w:r w:rsidRPr="003E738B">
        <w:rPr>
          <w:rStyle w:val="AERbody"/>
          <w:rFonts w:eastAsia="Calibri"/>
          <w:bCs w:val="0"/>
          <w:i w:val="0"/>
          <w:iCs w:val="0"/>
          <w:szCs w:val="22"/>
        </w:rPr>
        <w:t xml:space="preserve">omments on the </w:t>
      </w:r>
      <w:r w:rsidR="000765B6" w:rsidRPr="003E738B">
        <w:rPr>
          <w:rStyle w:val="AERbody"/>
          <w:rFonts w:eastAsia="Calibri"/>
          <w:bCs w:val="0"/>
          <w:i w:val="0"/>
          <w:iCs w:val="0"/>
          <w:szCs w:val="22"/>
        </w:rPr>
        <w:t>c</w:t>
      </w:r>
      <w:r w:rsidRPr="003E738B">
        <w:rPr>
          <w:rStyle w:val="AERbody"/>
          <w:rFonts w:eastAsia="Calibri"/>
          <w:bCs w:val="0"/>
          <w:i w:val="0"/>
          <w:iCs w:val="0"/>
          <w:szCs w:val="22"/>
        </w:rPr>
        <w:t xml:space="preserve">ategories </w:t>
      </w:r>
      <w:r w:rsidR="000765B6" w:rsidRPr="003E738B">
        <w:rPr>
          <w:rStyle w:val="AERbody"/>
          <w:rFonts w:eastAsia="Calibri"/>
          <w:bCs w:val="0"/>
          <w:i w:val="0"/>
          <w:iCs w:val="0"/>
          <w:szCs w:val="22"/>
        </w:rPr>
        <w:t xml:space="preserve">presented </w:t>
      </w:r>
      <w:r w:rsidRPr="003E738B">
        <w:rPr>
          <w:rStyle w:val="AERbody"/>
          <w:rFonts w:eastAsia="Calibri"/>
          <w:bCs w:val="0"/>
          <w:i w:val="0"/>
          <w:iCs w:val="0"/>
          <w:szCs w:val="22"/>
        </w:rPr>
        <w:t>by AER staff for discussion</w:t>
      </w:r>
    </w:p>
    <w:p w:rsidR="0038670F" w:rsidRPr="003E738B" w:rsidRDefault="0038670F"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AER staff </w:t>
      </w:r>
      <w:r w:rsidR="004757FD" w:rsidRPr="003E738B">
        <w:rPr>
          <w:rStyle w:val="AERbody"/>
          <w:rFonts w:eastAsia="Calibri"/>
          <w:b w:val="0"/>
          <w:bCs w:val="0"/>
          <w:i w:val="0"/>
          <w:iCs w:val="0"/>
          <w:szCs w:val="22"/>
        </w:rPr>
        <w:t xml:space="preserve">proposed </w:t>
      </w:r>
      <w:r w:rsidRPr="003E738B">
        <w:rPr>
          <w:rStyle w:val="AERbody"/>
          <w:rFonts w:eastAsia="Calibri"/>
          <w:b w:val="0"/>
          <w:bCs w:val="0"/>
          <w:i w:val="0"/>
          <w:iCs w:val="0"/>
          <w:szCs w:val="22"/>
        </w:rPr>
        <w:t>the following categories and sub categories for discussion and then asked for comment</w:t>
      </w:r>
      <w:r w:rsidR="00DD4943" w:rsidRPr="003E738B">
        <w:rPr>
          <w:rStyle w:val="AERbody"/>
          <w:rFonts w:eastAsia="Calibri"/>
          <w:b w:val="0"/>
          <w:bCs w:val="0"/>
          <w:i w:val="0"/>
          <w:iCs w:val="0"/>
          <w:szCs w:val="22"/>
        </w:rPr>
        <w:t xml:space="preserve"> </w:t>
      </w:r>
      <w:r w:rsidR="007958A2" w:rsidRPr="003E738B">
        <w:rPr>
          <w:rStyle w:val="AERbody"/>
          <w:rFonts w:eastAsia="Calibri"/>
          <w:b w:val="0"/>
          <w:bCs w:val="0"/>
          <w:i w:val="0"/>
          <w:iCs w:val="0"/>
          <w:szCs w:val="22"/>
        </w:rPr>
        <w:t xml:space="preserve">from participants </w:t>
      </w:r>
      <w:r w:rsidR="004757FD" w:rsidRPr="003E738B">
        <w:rPr>
          <w:rStyle w:val="AERbody"/>
          <w:rFonts w:eastAsia="Calibri"/>
          <w:b w:val="0"/>
          <w:bCs w:val="0"/>
          <w:i w:val="0"/>
          <w:iCs w:val="0"/>
          <w:szCs w:val="22"/>
        </w:rPr>
        <w:t>regarding their validity, completeness and whether preferred categories existed:</w:t>
      </w:r>
    </w:p>
    <w:p w:rsidR="00740FC2" w:rsidRPr="001E69EA" w:rsidRDefault="0038670F"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Connection type (input/generation versus output/consumption)</w:t>
      </w:r>
    </w:p>
    <w:p w:rsidR="00740FC2" w:rsidRPr="003E738B" w:rsidRDefault="0038670F" w:rsidP="001E69EA">
      <w:pPr>
        <w:pStyle w:val="Heading2"/>
        <w:numPr>
          <w:ilvl w:val="0"/>
          <w:numId w:val="14"/>
        </w:numPr>
        <w:rPr>
          <w:rStyle w:val="AERbody"/>
          <w:rFonts w:eastAsia="Calibri"/>
          <w:b w:val="0"/>
          <w:bCs w:val="0"/>
          <w:i w:val="0"/>
          <w:iCs w:val="0"/>
          <w:szCs w:val="22"/>
        </w:rPr>
      </w:pPr>
      <w:r w:rsidRPr="003E738B">
        <w:rPr>
          <w:rStyle w:val="AERbody"/>
          <w:rFonts w:eastAsia="Calibri"/>
          <w:b w:val="0"/>
          <w:bCs w:val="0"/>
          <w:i w:val="0"/>
          <w:iCs w:val="0"/>
          <w:szCs w:val="22"/>
        </w:rPr>
        <w:t>New or replacement</w:t>
      </w:r>
    </w:p>
    <w:p w:rsidR="00740FC2" w:rsidRPr="003E738B" w:rsidRDefault="00BF4CF6" w:rsidP="001E69EA">
      <w:pPr>
        <w:pStyle w:val="Heading2"/>
        <w:numPr>
          <w:ilvl w:val="0"/>
          <w:numId w:val="14"/>
        </w:numPr>
        <w:rPr>
          <w:rStyle w:val="AERbody"/>
          <w:rFonts w:eastAsia="Calibri"/>
          <w:b w:val="0"/>
          <w:bCs w:val="0"/>
          <w:i w:val="0"/>
          <w:iCs w:val="0"/>
          <w:szCs w:val="22"/>
        </w:rPr>
      </w:pPr>
      <w:r w:rsidRPr="003E738B">
        <w:rPr>
          <w:rStyle w:val="AERbody"/>
          <w:rFonts w:eastAsia="Calibri"/>
          <w:b w:val="0"/>
          <w:bCs w:val="0"/>
          <w:i w:val="0"/>
          <w:iCs w:val="0"/>
          <w:szCs w:val="22"/>
        </w:rPr>
        <w:t>Underground or overhead</w:t>
      </w:r>
    </w:p>
    <w:p w:rsidR="00740FC2" w:rsidRPr="003E738B" w:rsidRDefault="0038670F" w:rsidP="001E69EA">
      <w:pPr>
        <w:pStyle w:val="Heading2"/>
        <w:numPr>
          <w:ilvl w:val="0"/>
          <w:numId w:val="14"/>
        </w:numPr>
        <w:rPr>
          <w:rStyle w:val="AERbody"/>
          <w:rFonts w:eastAsia="Calibri"/>
          <w:b w:val="0"/>
          <w:bCs w:val="0"/>
          <w:i w:val="0"/>
          <w:iCs w:val="0"/>
          <w:szCs w:val="22"/>
        </w:rPr>
      </w:pPr>
      <w:r w:rsidRPr="003E738B">
        <w:rPr>
          <w:rStyle w:val="AERbody"/>
          <w:rFonts w:eastAsia="Calibri"/>
          <w:b w:val="0"/>
          <w:bCs w:val="0"/>
          <w:i w:val="0"/>
          <w:iCs w:val="0"/>
          <w:szCs w:val="22"/>
        </w:rPr>
        <w:t>Voltage level and/or network level</w:t>
      </w:r>
    </w:p>
    <w:p w:rsidR="004757FD" w:rsidRPr="003E738B" w:rsidRDefault="004757FD" w:rsidP="001E69EA">
      <w:pPr>
        <w:pStyle w:val="Heading2"/>
        <w:numPr>
          <w:ilvl w:val="0"/>
          <w:numId w:val="14"/>
        </w:numPr>
        <w:rPr>
          <w:rStyle w:val="AERbody"/>
          <w:rFonts w:eastAsia="Calibri"/>
          <w:b w:val="0"/>
          <w:bCs w:val="0"/>
          <w:i w:val="0"/>
          <w:iCs w:val="0"/>
          <w:szCs w:val="22"/>
        </w:rPr>
      </w:pPr>
      <w:r w:rsidRPr="003E738B">
        <w:rPr>
          <w:rStyle w:val="AERbody"/>
          <w:rFonts w:eastAsia="Calibri"/>
          <w:b w:val="0"/>
          <w:bCs w:val="0"/>
          <w:i w:val="0"/>
          <w:iCs w:val="0"/>
          <w:szCs w:val="22"/>
        </w:rPr>
        <w:t>Connection versus other works (potentially connection and extension, and connection and augmentation with or without extension)</w:t>
      </w:r>
    </w:p>
    <w:p w:rsidR="00740FC2" w:rsidRPr="003E738B" w:rsidRDefault="0038670F" w:rsidP="001E69EA">
      <w:pPr>
        <w:pStyle w:val="Heading2"/>
        <w:numPr>
          <w:ilvl w:val="0"/>
          <w:numId w:val="14"/>
        </w:numPr>
        <w:rPr>
          <w:rStyle w:val="AERbody"/>
          <w:rFonts w:eastAsia="Calibri"/>
          <w:b w:val="0"/>
          <w:bCs w:val="0"/>
          <w:i w:val="0"/>
          <w:iCs w:val="0"/>
          <w:szCs w:val="22"/>
        </w:rPr>
      </w:pPr>
      <w:r w:rsidRPr="003E738B">
        <w:rPr>
          <w:rStyle w:val="AERbody"/>
          <w:rFonts w:eastAsia="Calibri"/>
          <w:b w:val="0"/>
          <w:bCs w:val="0"/>
          <w:i w:val="0"/>
          <w:iCs w:val="0"/>
          <w:szCs w:val="22"/>
        </w:rPr>
        <w:t xml:space="preserve">Expected </w:t>
      </w:r>
      <w:r w:rsidR="004757FD" w:rsidRPr="003E738B">
        <w:rPr>
          <w:rStyle w:val="AERbody"/>
          <w:rFonts w:eastAsia="Calibri"/>
          <w:b w:val="0"/>
          <w:bCs w:val="0"/>
          <w:i w:val="0"/>
          <w:iCs w:val="0"/>
          <w:szCs w:val="22"/>
        </w:rPr>
        <w:t xml:space="preserve">maximum </w:t>
      </w:r>
      <w:r w:rsidRPr="003E738B">
        <w:rPr>
          <w:rStyle w:val="AERbody"/>
          <w:rFonts w:eastAsia="Calibri"/>
          <w:b w:val="0"/>
          <w:bCs w:val="0"/>
          <w:i w:val="0"/>
          <w:iCs w:val="0"/>
          <w:szCs w:val="22"/>
        </w:rPr>
        <w:t xml:space="preserve">demand </w:t>
      </w:r>
    </w:p>
    <w:p w:rsidR="00DD4943" w:rsidRPr="003E738B" w:rsidRDefault="004757FD"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TNSP </w:t>
      </w:r>
      <w:r w:rsidR="00DD4943" w:rsidRPr="003E738B">
        <w:rPr>
          <w:rStyle w:val="AERbody"/>
          <w:rFonts w:eastAsia="Calibri"/>
          <w:b w:val="0"/>
          <w:bCs w:val="0"/>
          <w:i w:val="0"/>
          <w:iCs w:val="0"/>
          <w:szCs w:val="22"/>
        </w:rPr>
        <w:t>representative</w:t>
      </w:r>
      <w:r w:rsidRPr="003E738B">
        <w:rPr>
          <w:rStyle w:val="AERbody"/>
          <w:rFonts w:eastAsia="Calibri"/>
          <w:b w:val="0"/>
          <w:bCs w:val="0"/>
          <w:i w:val="0"/>
          <w:iCs w:val="0"/>
          <w:szCs w:val="22"/>
        </w:rPr>
        <w:t>s</w:t>
      </w:r>
      <w:r w:rsidR="00DD4943" w:rsidRPr="003E738B">
        <w:rPr>
          <w:rStyle w:val="AERbody"/>
          <w:rFonts w:eastAsia="Calibri"/>
          <w:b w:val="0"/>
          <w:bCs w:val="0"/>
          <w:i w:val="0"/>
          <w:iCs w:val="0"/>
          <w:szCs w:val="22"/>
        </w:rPr>
        <w:t xml:space="preserve"> were asked to also consider each of these categories in the context of what the</w:t>
      </w:r>
      <w:r w:rsidRPr="003E738B">
        <w:rPr>
          <w:rStyle w:val="AERbody"/>
          <w:rFonts w:eastAsia="Calibri"/>
          <w:b w:val="0"/>
          <w:bCs w:val="0"/>
          <w:i w:val="0"/>
          <w:iCs w:val="0"/>
          <w:szCs w:val="22"/>
        </w:rPr>
        <w:t xml:space="preserve">y </w:t>
      </w:r>
      <w:r w:rsidR="00DD4943" w:rsidRPr="003E738B">
        <w:rPr>
          <w:rStyle w:val="AERbody"/>
          <w:rFonts w:eastAsia="Calibri"/>
          <w:b w:val="0"/>
          <w:bCs w:val="0"/>
          <w:i w:val="0"/>
          <w:iCs w:val="0"/>
          <w:szCs w:val="22"/>
        </w:rPr>
        <w:t>currently do in relation to forecasting internal costs and performing internal benchmarking</w:t>
      </w:r>
      <w:r w:rsidRPr="003E738B">
        <w:rPr>
          <w:rStyle w:val="AERbody"/>
          <w:rFonts w:eastAsia="Calibri"/>
          <w:b w:val="0"/>
          <w:bCs w:val="0"/>
          <w:i w:val="0"/>
          <w:iCs w:val="0"/>
          <w:szCs w:val="22"/>
        </w:rPr>
        <w:t xml:space="preserve">, as well as </w:t>
      </w:r>
      <w:r w:rsidR="00DD4943" w:rsidRPr="003E738B">
        <w:rPr>
          <w:rStyle w:val="AERbody"/>
          <w:rFonts w:eastAsia="Calibri"/>
          <w:b w:val="0"/>
          <w:bCs w:val="0"/>
          <w:i w:val="0"/>
          <w:iCs w:val="0"/>
          <w:szCs w:val="22"/>
        </w:rPr>
        <w:t xml:space="preserve">preparing quotes for works. </w:t>
      </w:r>
    </w:p>
    <w:p w:rsidR="0038670F" w:rsidRPr="001E69EA" w:rsidRDefault="00453A2B" w:rsidP="003E738B">
      <w:pPr>
        <w:pStyle w:val="Heading2"/>
        <w:rPr>
          <w:rStyle w:val="AERbody"/>
          <w:rFonts w:eastAsia="Calibri"/>
          <w:bCs w:val="0"/>
          <w:iCs w:val="0"/>
          <w:szCs w:val="22"/>
        </w:rPr>
      </w:pPr>
      <w:r w:rsidRPr="001E69EA">
        <w:rPr>
          <w:rStyle w:val="AERbody"/>
          <w:rFonts w:eastAsia="Calibri"/>
          <w:bCs w:val="0"/>
          <w:iCs w:val="0"/>
          <w:szCs w:val="22"/>
        </w:rPr>
        <w:t>Connection Type</w:t>
      </w:r>
    </w:p>
    <w:p w:rsidR="004C7AF6" w:rsidRPr="003E738B" w:rsidRDefault="007958A2"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C</w:t>
      </w:r>
      <w:r w:rsidR="00123683" w:rsidRPr="003E738B">
        <w:rPr>
          <w:rStyle w:val="AERbody"/>
          <w:rFonts w:eastAsia="Calibri"/>
          <w:b w:val="0"/>
          <w:bCs w:val="0"/>
          <w:i w:val="0"/>
          <w:iCs w:val="0"/>
          <w:szCs w:val="22"/>
        </w:rPr>
        <w:t xml:space="preserve">onceptually customer type does not drive much in terms of cost. </w:t>
      </w:r>
      <w:r w:rsidR="00071FC9" w:rsidRPr="003E738B">
        <w:rPr>
          <w:rStyle w:val="AERbody"/>
          <w:rFonts w:eastAsia="Calibri"/>
          <w:b w:val="0"/>
          <w:bCs w:val="0"/>
          <w:i w:val="0"/>
          <w:iCs w:val="0"/>
          <w:szCs w:val="22"/>
        </w:rPr>
        <w:t>Rather, k</w:t>
      </w:r>
      <w:r w:rsidR="004C7AF6" w:rsidRPr="003E738B">
        <w:rPr>
          <w:rStyle w:val="AERbody"/>
          <w:rFonts w:eastAsia="Calibri"/>
          <w:b w:val="0"/>
          <w:bCs w:val="0"/>
          <w:i w:val="0"/>
          <w:iCs w:val="0"/>
          <w:szCs w:val="22"/>
        </w:rPr>
        <w:t xml:space="preserve">ey </w:t>
      </w:r>
      <w:r w:rsidRPr="003E738B">
        <w:rPr>
          <w:rStyle w:val="AERbody"/>
          <w:rFonts w:eastAsia="Calibri"/>
          <w:b w:val="0"/>
          <w:bCs w:val="0"/>
          <w:i w:val="0"/>
          <w:iCs w:val="0"/>
          <w:szCs w:val="22"/>
        </w:rPr>
        <w:t xml:space="preserve">cost </w:t>
      </w:r>
      <w:r w:rsidR="004C7AF6" w:rsidRPr="003E738B">
        <w:rPr>
          <w:rStyle w:val="AERbody"/>
          <w:rFonts w:eastAsia="Calibri"/>
          <w:b w:val="0"/>
          <w:bCs w:val="0"/>
          <w:i w:val="0"/>
          <w:iCs w:val="0"/>
          <w:szCs w:val="22"/>
        </w:rPr>
        <w:t>drivers are voltage and load (relative to current capacity) and required reliability.</w:t>
      </w:r>
    </w:p>
    <w:p w:rsidR="00071FC9" w:rsidRPr="003E738B" w:rsidRDefault="00071FC9"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The vast majority of connection work is connecting to DNSPs (around 90%).</w:t>
      </w:r>
    </w:p>
    <w:p w:rsidR="00BF4CF6" w:rsidRPr="001E69EA" w:rsidRDefault="00453A2B" w:rsidP="003E738B">
      <w:pPr>
        <w:pStyle w:val="Heading2"/>
        <w:rPr>
          <w:rStyle w:val="AERbody"/>
          <w:rFonts w:eastAsia="Calibri"/>
          <w:bCs w:val="0"/>
          <w:iCs w:val="0"/>
          <w:szCs w:val="22"/>
        </w:rPr>
      </w:pPr>
      <w:r w:rsidRPr="001E69EA">
        <w:rPr>
          <w:rStyle w:val="AERbody"/>
          <w:rFonts w:eastAsia="Calibri"/>
          <w:bCs w:val="0"/>
          <w:iCs w:val="0"/>
          <w:szCs w:val="22"/>
        </w:rPr>
        <w:t>New or replacement</w:t>
      </w:r>
    </w:p>
    <w:p w:rsidR="00BF4CF6" w:rsidRPr="003E738B" w:rsidRDefault="00BF4CF6"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Participants considered that costs associated with new versus replacement works could typically vary. This is </w:t>
      </w:r>
      <w:r w:rsidR="00753E6F" w:rsidRPr="003E738B">
        <w:rPr>
          <w:rStyle w:val="AERbody"/>
          <w:rFonts w:eastAsia="Calibri"/>
          <w:b w:val="0"/>
          <w:bCs w:val="0"/>
          <w:i w:val="0"/>
          <w:iCs w:val="0"/>
          <w:szCs w:val="22"/>
        </w:rPr>
        <w:t>due to certain works often</w:t>
      </w:r>
      <w:r w:rsidRPr="003E738B">
        <w:rPr>
          <w:rStyle w:val="AERbody"/>
          <w:rFonts w:eastAsia="Calibri"/>
          <w:b w:val="0"/>
          <w:bCs w:val="0"/>
          <w:i w:val="0"/>
          <w:iCs w:val="0"/>
          <w:szCs w:val="22"/>
        </w:rPr>
        <w:t xml:space="preserve"> not being required in replacement works (for example earth works and base substation construction might not be required).</w:t>
      </w:r>
    </w:p>
    <w:p w:rsidR="00BF4CF6" w:rsidRPr="001E69EA" w:rsidRDefault="00453A2B" w:rsidP="003E738B">
      <w:pPr>
        <w:pStyle w:val="Heading2"/>
        <w:rPr>
          <w:rStyle w:val="AERbody"/>
          <w:rFonts w:eastAsia="Calibri"/>
          <w:bCs w:val="0"/>
          <w:iCs w:val="0"/>
          <w:szCs w:val="22"/>
        </w:rPr>
      </w:pPr>
      <w:r w:rsidRPr="001E69EA">
        <w:rPr>
          <w:rStyle w:val="AERbody"/>
          <w:rFonts w:eastAsia="Calibri"/>
          <w:bCs w:val="0"/>
          <w:iCs w:val="0"/>
          <w:szCs w:val="22"/>
        </w:rPr>
        <w:t>Underground or overhead</w:t>
      </w:r>
    </w:p>
    <w:p w:rsidR="00BF4CF6" w:rsidRPr="003E738B" w:rsidRDefault="00BF4CF6"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Participants agree</w:t>
      </w:r>
      <w:r w:rsidR="000765B6" w:rsidRPr="003E738B">
        <w:rPr>
          <w:rStyle w:val="AERbody"/>
          <w:rFonts w:eastAsia="Calibri"/>
          <w:b w:val="0"/>
          <w:bCs w:val="0"/>
          <w:i w:val="0"/>
          <w:iCs w:val="0"/>
          <w:szCs w:val="22"/>
        </w:rPr>
        <w:t>d</w:t>
      </w:r>
      <w:r w:rsidRPr="003E738B">
        <w:rPr>
          <w:rStyle w:val="AERbody"/>
          <w:rFonts w:eastAsia="Calibri"/>
          <w:b w:val="0"/>
          <w:bCs w:val="0"/>
          <w:i w:val="0"/>
          <w:iCs w:val="0"/>
          <w:szCs w:val="22"/>
        </w:rPr>
        <w:t xml:space="preserve"> that this </w:t>
      </w:r>
      <w:r w:rsidR="000765B6" w:rsidRPr="003E738B">
        <w:rPr>
          <w:rStyle w:val="AERbody"/>
          <w:rFonts w:eastAsia="Calibri"/>
          <w:b w:val="0"/>
          <w:bCs w:val="0"/>
          <w:i w:val="0"/>
          <w:iCs w:val="0"/>
          <w:szCs w:val="22"/>
        </w:rPr>
        <w:t>had a material impact on costs</w:t>
      </w:r>
      <w:r w:rsidRPr="003E738B">
        <w:rPr>
          <w:rStyle w:val="AERbody"/>
          <w:rFonts w:eastAsia="Calibri"/>
          <w:b w:val="0"/>
          <w:bCs w:val="0"/>
          <w:i w:val="0"/>
          <w:iCs w:val="0"/>
          <w:szCs w:val="22"/>
        </w:rPr>
        <w:t xml:space="preserve">. </w:t>
      </w:r>
    </w:p>
    <w:p w:rsidR="00123683" w:rsidRPr="001E69EA" w:rsidRDefault="00453A2B" w:rsidP="003E738B">
      <w:pPr>
        <w:pStyle w:val="Heading2"/>
        <w:rPr>
          <w:rStyle w:val="AERbody"/>
          <w:rFonts w:eastAsia="Calibri"/>
          <w:bCs w:val="0"/>
          <w:iCs w:val="0"/>
          <w:szCs w:val="22"/>
        </w:rPr>
      </w:pPr>
      <w:r w:rsidRPr="001E69EA">
        <w:rPr>
          <w:rStyle w:val="AERbody"/>
          <w:rFonts w:eastAsia="Calibri"/>
          <w:bCs w:val="0"/>
          <w:iCs w:val="0"/>
          <w:szCs w:val="22"/>
        </w:rPr>
        <w:lastRenderedPageBreak/>
        <w:t>Voltage Level and/or network level</w:t>
      </w:r>
    </w:p>
    <w:p w:rsidR="00123683" w:rsidRPr="003E738B" w:rsidRDefault="00123683"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Participants generally agreed voltage level is an important cost driver. The view was </w:t>
      </w:r>
      <w:r w:rsidR="007958A2" w:rsidRPr="003E738B">
        <w:rPr>
          <w:rStyle w:val="AERbody"/>
          <w:rFonts w:eastAsia="Calibri"/>
          <w:b w:val="0"/>
          <w:bCs w:val="0"/>
          <w:i w:val="0"/>
          <w:iCs w:val="0"/>
          <w:szCs w:val="22"/>
        </w:rPr>
        <w:t xml:space="preserve">also </w:t>
      </w:r>
      <w:r w:rsidRPr="003E738B">
        <w:rPr>
          <w:rStyle w:val="AERbody"/>
          <w:rFonts w:eastAsia="Calibri"/>
          <w:b w:val="0"/>
          <w:bCs w:val="0"/>
          <w:i w:val="0"/>
          <w:iCs w:val="0"/>
          <w:szCs w:val="22"/>
        </w:rPr>
        <w:t>expressed that it is likely network level is simply a substitute for voltage level.</w:t>
      </w:r>
    </w:p>
    <w:p w:rsidR="004757FD" w:rsidRPr="001E69EA" w:rsidRDefault="004757FD" w:rsidP="003E738B">
      <w:pPr>
        <w:pStyle w:val="Heading2"/>
        <w:rPr>
          <w:rStyle w:val="AERbody"/>
          <w:rFonts w:eastAsia="Calibri"/>
          <w:bCs w:val="0"/>
          <w:iCs w:val="0"/>
          <w:szCs w:val="22"/>
        </w:rPr>
      </w:pPr>
      <w:r w:rsidRPr="001E69EA">
        <w:rPr>
          <w:rStyle w:val="AERbody"/>
          <w:rFonts w:eastAsia="Calibri"/>
          <w:bCs w:val="0"/>
          <w:iCs w:val="0"/>
          <w:szCs w:val="22"/>
        </w:rPr>
        <w:t>Connection versus other works</w:t>
      </w:r>
    </w:p>
    <w:p w:rsidR="00123683" w:rsidRPr="003E738B" w:rsidRDefault="00123683"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AER staff indicated that they wanted to be able to estimate the costs associated with different </w:t>
      </w:r>
      <w:r w:rsidR="009B7E5E" w:rsidRPr="003E738B">
        <w:rPr>
          <w:rStyle w:val="AERbody"/>
          <w:rFonts w:eastAsia="Calibri"/>
          <w:b w:val="0"/>
          <w:bCs w:val="0"/>
          <w:i w:val="0"/>
          <w:iCs w:val="0"/>
          <w:szCs w:val="22"/>
        </w:rPr>
        <w:t>types/scope of work</w:t>
      </w:r>
      <w:r w:rsidRPr="003E738B">
        <w:rPr>
          <w:rStyle w:val="AERbody"/>
          <w:rFonts w:eastAsia="Calibri"/>
          <w:b w:val="0"/>
          <w:bCs w:val="0"/>
          <w:i w:val="0"/>
          <w:iCs w:val="0"/>
          <w:szCs w:val="22"/>
        </w:rPr>
        <w:t xml:space="preserve"> and connections versus connection plus extension and/or augm</w:t>
      </w:r>
      <w:r w:rsidR="009B7E5E" w:rsidRPr="003E738B">
        <w:rPr>
          <w:rStyle w:val="AERbody"/>
          <w:rFonts w:eastAsia="Calibri"/>
          <w:b w:val="0"/>
          <w:bCs w:val="0"/>
          <w:i w:val="0"/>
          <w:iCs w:val="0"/>
          <w:szCs w:val="22"/>
        </w:rPr>
        <w:t>entation was a way of breaking the scope up</w:t>
      </w:r>
      <w:r w:rsidRPr="003E738B">
        <w:rPr>
          <w:rStyle w:val="AERbody"/>
          <w:rFonts w:eastAsia="Calibri"/>
          <w:b w:val="0"/>
          <w:bCs w:val="0"/>
          <w:i w:val="0"/>
          <w:iCs w:val="0"/>
          <w:szCs w:val="22"/>
        </w:rPr>
        <w:t xml:space="preserve">. </w:t>
      </w:r>
      <w:r w:rsidR="009B7E5E" w:rsidRPr="003E738B">
        <w:rPr>
          <w:rStyle w:val="AERbody"/>
          <w:rFonts w:eastAsia="Calibri"/>
          <w:b w:val="0"/>
          <w:bCs w:val="0"/>
          <w:i w:val="0"/>
          <w:iCs w:val="0"/>
          <w:szCs w:val="22"/>
        </w:rPr>
        <w:t>AER staff indicated that ideally you would classify the work by primary driver (and associated costs) and then pick up additional work (and associated costs) coming from the broader joint planning process.</w:t>
      </w:r>
    </w:p>
    <w:p w:rsidR="009B7E5E" w:rsidRPr="003E738B" w:rsidRDefault="009B7E5E"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Participants indicated that a starting point could be the R</w:t>
      </w:r>
      <w:r w:rsidR="004757FD" w:rsidRPr="003E738B">
        <w:rPr>
          <w:rStyle w:val="AERbody"/>
          <w:rFonts w:eastAsia="Calibri"/>
          <w:b w:val="0"/>
          <w:bCs w:val="0"/>
          <w:i w:val="0"/>
          <w:iCs w:val="0"/>
          <w:szCs w:val="22"/>
        </w:rPr>
        <w:t>I</w:t>
      </w:r>
      <w:r w:rsidRPr="003E738B">
        <w:rPr>
          <w:rStyle w:val="AERbody"/>
          <w:rFonts w:eastAsia="Calibri"/>
          <w:b w:val="0"/>
          <w:bCs w:val="0"/>
          <w:i w:val="0"/>
          <w:iCs w:val="0"/>
          <w:szCs w:val="22"/>
        </w:rPr>
        <w:t>T</w:t>
      </w:r>
      <w:r w:rsidR="004757FD" w:rsidRPr="003E738B">
        <w:rPr>
          <w:rStyle w:val="AERbody"/>
          <w:rFonts w:eastAsia="Calibri"/>
          <w:b w:val="0"/>
          <w:bCs w:val="0"/>
          <w:i w:val="0"/>
          <w:iCs w:val="0"/>
          <w:szCs w:val="22"/>
        </w:rPr>
        <w:t>-T</w:t>
      </w:r>
      <w:r w:rsidRPr="003E738B">
        <w:rPr>
          <w:rStyle w:val="AERbody"/>
          <w:rFonts w:eastAsia="Calibri"/>
          <w:b w:val="0"/>
          <w:bCs w:val="0"/>
          <w:i w:val="0"/>
          <w:iCs w:val="0"/>
          <w:szCs w:val="22"/>
        </w:rPr>
        <w:t xml:space="preserve"> which does allocate cost by primary driver. </w:t>
      </w:r>
    </w:p>
    <w:p w:rsidR="009B7E5E" w:rsidRPr="003E738B" w:rsidRDefault="007958A2"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Participants</w:t>
      </w:r>
      <w:r w:rsidR="009B7E5E" w:rsidRPr="003E738B">
        <w:rPr>
          <w:rStyle w:val="AERbody"/>
          <w:rFonts w:eastAsia="Calibri"/>
          <w:b w:val="0"/>
          <w:bCs w:val="0"/>
          <w:i w:val="0"/>
          <w:iCs w:val="0"/>
          <w:szCs w:val="22"/>
        </w:rPr>
        <w:t xml:space="preserve"> indicated that splitting up costs between given activity categories could be di</w:t>
      </w:r>
      <w:r w:rsidRPr="003E738B">
        <w:rPr>
          <w:rStyle w:val="AERbody"/>
          <w:rFonts w:eastAsia="Calibri"/>
          <w:b w:val="0"/>
          <w:bCs w:val="0"/>
          <w:i w:val="0"/>
          <w:iCs w:val="0"/>
          <w:szCs w:val="22"/>
        </w:rPr>
        <w:t xml:space="preserve">fficult. This was </w:t>
      </w:r>
      <w:r w:rsidR="009B7E5E" w:rsidRPr="003E738B">
        <w:rPr>
          <w:rStyle w:val="AERbody"/>
          <w:rFonts w:eastAsia="Calibri"/>
          <w:b w:val="0"/>
          <w:bCs w:val="0"/>
          <w:i w:val="0"/>
          <w:iCs w:val="0"/>
          <w:szCs w:val="22"/>
        </w:rPr>
        <w:t>because different categories of works are coordinated and completed together to generate efficiencies (e.g. teams will go out to an area and do multi</w:t>
      </w:r>
      <w:r w:rsidR="00753E6F" w:rsidRPr="003E738B">
        <w:rPr>
          <w:rStyle w:val="AERbody"/>
          <w:rFonts w:eastAsia="Calibri"/>
          <w:b w:val="0"/>
          <w:bCs w:val="0"/>
          <w:i w:val="0"/>
          <w:iCs w:val="0"/>
          <w:szCs w:val="22"/>
        </w:rPr>
        <w:t>ple projects) and it would be difficult</w:t>
      </w:r>
      <w:r w:rsidR="009B7E5E" w:rsidRPr="003E738B">
        <w:rPr>
          <w:rStyle w:val="AERbody"/>
          <w:rFonts w:eastAsia="Calibri"/>
          <w:b w:val="0"/>
          <w:bCs w:val="0"/>
          <w:i w:val="0"/>
          <w:iCs w:val="0"/>
          <w:szCs w:val="22"/>
        </w:rPr>
        <w:t xml:space="preserve"> to split out the costs associated with each activity.</w:t>
      </w:r>
    </w:p>
    <w:p w:rsidR="00F076D7" w:rsidRPr="003E738B" w:rsidRDefault="00F076D7"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Participants indicated that the distinction between connection and other augmentation works is unlikely to be material in terms of cost. That is, similar assets are likely to have similar cost regardless of whether they are used for connection or within the shared network.</w:t>
      </w:r>
    </w:p>
    <w:p w:rsidR="009B7E5E" w:rsidRPr="003E738B" w:rsidRDefault="00453A2B" w:rsidP="003E738B">
      <w:pPr>
        <w:pStyle w:val="Heading2"/>
        <w:rPr>
          <w:rStyle w:val="AERbody"/>
          <w:rFonts w:eastAsia="Calibri"/>
          <w:bCs w:val="0"/>
          <w:iCs w:val="0"/>
          <w:szCs w:val="22"/>
        </w:rPr>
      </w:pPr>
      <w:r w:rsidRPr="003E738B">
        <w:rPr>
          <w:rStyle w:val="AERbody"/>
          <w:rFonts w:eastAsia="Calibri"/>
          <w:b w:val="0"/>
          <w:bCs w:val="0"/>
          <w:i w:val="0"/>
          <w:iCs w:val="0"/>
          <w:szCs w:val="22"/>
        </w:rPr>
        <w:t xml:space="preserve">Expected </w:t>
      </w:r>
      <w:r w:rsidR="004757FD" w:rsidRPr="003E738B">
        <w:rPr>
          <w:rStyle w:val="AERbody"/>
          <w:rFonts w:eastAsia="Calibri"/>
          <w:b w:val="0"/>
          <w:bCs w:val="0"/>
          <w:i w:val="0"/>
          <w:iCs w:val="0"/>
          <w:szCs w:val="22"/>
        </w:rPr>
        <w:t>maximum d</w:t>
      </w:r>
      <w:r w:rsidRPr="003E738B">
        <w:rPr>
          <w:rStyle w:val="AERbody"/>
          <w:rFonts w:eastAsia="Calibri"/>
          <w:b w:val="0"/>
          <w:bCs w:val="0"/>
          <w:i w:val="0"/>
          <w:iCs w:val="0"/>
          <w:szCs w:val="22"/>
        </w:rPr>
        <w:t>emand</w:t>
      </w:r>
    </w:p>
    <w:p w:rsidR="0002450F" w:rsidRPr="003E738B" w:rsidRDefault="0002450F" w:rsidP="003E738B">
      <w:pPr>
        <w:pStyle w:val="Heading2"/>
        <w:rPr>
          <w:rStyle w:val="AERbody"/>
          <w:rFonts w:eastAsia="Calibri"/>
          <w:b w:val="0"/>
          <w:bCs w:val="0"/>
          <w:i w:val="0"/>
          <w:iCs w:val="0"/>
          <w:szCs w:val="22"/>
        </w:rPr>
      </w:pPr>
      <w:r w:rsidRPr="003E738B">
        <w:rPr>
          <w:rStyle w:val="AERbody"/>
          <w:rFonts w:eastAsia="Calibri"/>
          <w:b w:val="0"/>
          <w:bCs w:val="0"/>
          <w:i w:val="0"/>
          <w:iCs w:val="0"/>
          <w:szCs w:val="22"/>
        </w:rPr>
        <w:t xml:space="preserve">Participants agreed that </w:t>
      </w:r>
      <w:r w:rsidR="004757FD" w:rsidRPr="003E738B">
        <w:rPr>
          <w:rStyle w:val="AERbody"/>
          <w:rFonts w:eastAsia="Calibri"/>
          <w:b w:val="0"/>
          <w:bCs w:val="0"/>
          <w:i w:val="0"/>
          <w:iCs w:val="0"/>
          <w:szCs w:val="22"/>
        </w:rPr>
        <w:t xml:space="preserve">meeting a specific maximum </w:t>
      </w:r>
      <w:r w:rsidRPr="003E738B">
        <w:rPr>
          <w:rStyle w:val="AERbody"/>
          <w:rFonts w:eastAsia="Calibri"/>
          <w:b w:val="0"/>
          <w:bCs w:val="0"/>
          <w:i w:val="0"/>
          <w:iCs w:val="0"/>
          <w:szCs w:val="22"/>
        </w:rPr>
        <w:t>demand and the associated MVA rating was a key driver of costs.</w:t>
      </w:r>
    </w:p>
    <w:p w:rsidR="0002450F" w:rsidRPr="001E69EA" w:rsidRDefault="0002450F" w:rsidP="001E69EA">
      <w:pPr>
        <w:pStyle w:val="Heading2"/>
        <w:rPr>
          <w:rStyle w:val="AERbody"/>
          <w:rFonts w:eastAsia="Calibri"/>
          <w:bCs w:val="0"/>
          <w:i w:val="0"/>
          <w:iCs w:val="0"/>
          <w:szCs w:val="22"/>
        </w:rPr>
      </w:pPr>
      <w:r w:rsidRPr="001E69EA">
        <w:rPr>
          <w:rStyle w:val="AERbody"/>
          <w:rFonts w:eastAsia="Calibri"/>
          <w:bCs w:val="0"/>
          <w:i w:val="0"/>
          <w:iCs w:val="0"/>
          <w:szCs w:val="22"/>
        </w:rPr>
        <w:t>Omitted Categories</w:t>
      </w:r>
    </w:p>
    <w:p w:rsidR="009B7E5E" w:rsidRPr="001E69EA" w:rsidRDefault="0002450F" w:rsidP="001E69EA">
      <w:pPr>
        <w:pStyle w:val="Heading2"/>
        <w:rPr>
          <w:rStyle w:val="AERbody"/>
          <w:rFonts w:eastAsia="Calibri"/>
          <w:b w:val="0"/>
          <w:bCs w:val="0"/>
          <w:i w:val="0"/>
          <w:iCs w:val="0"/>
          <w:szCs w:val="22"/>
        </w:rPr>
      </w:pPr>
      <w:r w:rsidRPr="001E69EA">
        <w:rPr>
          <w:rStyle w:val="AERbody"/>
          <w:rFonts w:eastAsia="Calibri"/>
          <w:b w:val="0"/>
          <w:bCs w:val="0"/>
          <w:i w:val="0"/>
          <w:iCs w:val="0"/>
          <w:szCs w:val="22"/>
        </w:rPr>
        <w:t>Participants consider</w:t>
      </w:r>
      <w:r w:rsidR="00F15E36" w:rsidRPr="001E69EA">
        <w:rPr>
          <w:rStyle w:val="AERbody"/>
          <w:rFonts w:eastAsia="Calibri"/>
          <w:b w:val="0"/>
          <w:bCs w:val="0"/>
          <w:i w:val="0"/>
          <w:iCs w:val="0"/>
          <w:szCs w:val="22"/>
        </w:rPr>
        <w:t>ed the following issues</w:t>
      </w:r>
      <w:r w:rsidRPr="001E69EA">
        <w:rPr>
          <w:rStyle w:val="AERbody"/>
          <w:rFonts w:eastAsia="Calibri"/>
          <w:b w:val="0"/>
          <w:bCs w:val="0"/>
          <w:i w:val="0"/>
          <w:iCs w:val="0"/>
          <w:szCs w:val="22"/>
        </w:rPr>
        <w:t xml:space="preserve"> </w:t>
      </w:r>
      <w:r w:rsidR="000765B6" w:rsidRPr="001E69EA">
        <w:rPr>
          <w:rStyle w:val="AERbody"/>
          <w:rFonts w:eastAsia="Calibri"/>
          <w:b w:val="0"/>
          <w:bCs w:val="0"/>
          <w:i w:val="0"/>
          <w:iCs w:val="0"/>
          <w:szCs w:val="22"/>
        </w:rPr>
        <w:t xml:space="preserve">also </w:t>
      </w:r>
      <w:r w:rsidR="004757FD" w:rsidRPr="001E69EA">
        <w:rPr>
          <w:rStyle w:val="AERbody"/>
          <w:rFonts w:eastAsia="Calibri"/>
          <w:b w:val="0"/>
          <w:bCs w:val="0"/>
          <w:i w:val="0"/>
          <w:iCs w:val="0"/>
          <w:szCs w:val="22"/>
        </w:rPr>
        <w:t xml:space="preserve">have a material impact on </w:t>
      </w:r>
      <w:r w:rsidR="000765B6" w:rsidRPr="001E69EA">
        <w:rPr>
          <w:rStyle w:val="AERbody"/>
          <w:rFonts w:eastAsia="Calibri"/>
          <w:b w:val="0"/>
          <w:bCs w:val="0"/>
          <w:i w:val="0"/>
          <w:iCs w:val="0"/>
          <w:szCs w:val="22"/>
        </w:rPr>
        <w:t xml:space="preserve">connection </w:t>
      </w:r>
      <w:r w:rsidR="004757FD" w:rsidRPr="001E69EA">
        <w:rPr>
          <w:rStyle w:val="AERbody"/>
          <w:rFonts w:eastAsia="Calibri"/>
          <w:b w:val="0"/>
          <w:bCs w:val="0"/>
          <w:i w:val="0"/>
          <w:iCs w:val="0"/>
          <w:szCs w:val="22"/>
        </w:rPr>
        <w:t>costs</w:t>
      </w:r>
      <w:r w:rsidRPr="001E69EA">
        <w:rPr>
          <w:rStyle w:val="AERbody"/>
          <w:rFonts w:eastAsia="Calibri"/>
          <w:b w:val="0"/>
          <w:bCs w:val="0"/>
          <w:i w:val="0"/>
          <w:iCs w:val="0"/>
          <w:szCs w:val="22"/>
        </w:rPr>
        <w:t>:</w:t>
      </w:r>
    </w:p>
    <w:p w:rsidR="00740FC2" w:rsidRPr="001E69EA" w:rsidRDefault="00753E6F"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Location</w:t>
      </w:r>
      <w:r w:rsidR="004757FD" w:rsidRPr="001E69EA">
        <w:rPr>
          <w:rStyle w:val="AERbody"/>
          <w:rFonts w:eastAsia="Calibri"/>
          <w:b w:val="0"/>
          <w:bCs w:val="0"/>
          <w:i w:val="0"/>
          <w:iCs w:val="0"/>
          <w:szCs w:val="22"/>
        </w:rPr>
        <w:t xml:space="preserve"> - r</w:t>
      </w:r>
      <w:r w:rsidR="0002450F" w:rsidRPr="001E69EA">
        <w:rPr>
          <w:rStyle w:val="AERbody"/>
          <w:rFonts w:eastAsia="Calibri"/>
          <w:b w:val="0"/>
          <w:bCs w:val="0"/>
          <w:i w:val="0"/>
          <w:iCs w:val="0"/>
          <w:szCs w:val="22"/>
        </w:rPr>
        <w:t>emoteness or diff</w:t>
      </w:r>
      <w:r w:rsidRPr="001E69EA">
        <w:rPr>
          <w:rStyle w:val="AERbody"/>
          <w:rFonts w:eastAsia="Calibri"/>
          <w:b w:val="0"/>
          <w:bCs w:val="0"/>
          <w:i w:val="0"/>
          <w:iCs w:val="0"/>
          <w:szCs w:val="22"/>
        </w:rPr>
        <w:t xml:space="preserve">iculty </w:t>
      </w:r>
      <w:r w:rsidR="004757FD" w:rsidRPr="001E69EA">
        <w:rPr>
          <w:rStyle w:val="AERbody"/>
          <w:rFonts w:eastAsia="Calibri"/>
          <w:b w:val="0"/>
          <w:bCs w:val="0"/>
          <w:i w:val="0"/>
          <w:iCs w:val="0"/>
          <w:szCs w:val="22"/>
        </w:rPr>
        <w:t xml:space="preserve">in travelling to certain sites </w:t>
      </w:r>
    </w:p>
    <w:p w:rsidR="00740FC2" w:rsidRPr="001E69EA" w:rsidRDefault="0002450F"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Terrai</w:t>
      </w:r>
      <w:r w:rsidR="00753E6F" w:rsidRPr="001E69EA">
        <w:rPr>
          <w:rStyle w:val="AERbody"/>
          <w:rFonts w:eastAsia="Calibri"/>
          <w:b w:val="0"/>
          <w:bCs w:val="0"/>
          <w:i w:val="0"/>
          <w:iCs w:val="0"/>
          <w:szCs w:val="22"/>
        </w:rPr>
        <w:t xml:space="preserve">n </w:t>
      </w:r>
      <w:r w:rsidR="004757FD" w:rsidRPr="001E69EA">
        <w:rPr>
          <w:rStyle w:val="AERbody"/>
          <w:rFonts w:eastAsia="Calibri"/>
          <w:b w:val="0"/>
          <w:bCs w:val="0"/>
          <w:i w:val="0"/>
          <w:iCs w:val="0"/>
          <w:szCs w:val="22"/>
        </w:rPr>
        <w:t>- g</w:t>
      </w:r>
      <w:r w:rsidRPr="001E69EA">
        <w:rPr>
          <w:rStyle w:val="AERbody"/>
          <w:rFonts w:eastAsia="Calibri"/>
          <w:b w:val="0"/>
          <w:bCs w:val="0"/>
          <w:i w:val="0"/>
          <w:iCs w:val="0"/>
          <w:szCs w:val="22"/>
        </w:rPr>
        <w:t>eotechnical issues</w:t>
      </w:r>
      <w:r w:rsidR="00F15E36" w:rsidRPr="001E69EA">
        <w:rPr>
          <w:rStyle w:val="AERbody"/>
          <w:rFonts w:eastAsia="Calibri"/>
          <w:b w:val="0"/>
          <w:bCs w:val="0"/>
          <w:i w:val="0"/>
          <w:iCs w:val="0"/>
          <w:szCs w:val="22"/>
        </w:rPr>
        <w:t xml:space="preserve"> (substrate type)</w:t>
      </w:r>
    </w:p>
    <w:p w:rsidR="00740FC2" w:rsidRPr="001E69EA" w:rsidRDefault="00753E6F"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MVA rating and line rating</w:t>
      </w:r>
      <w:r w:rsidR="004757FD" w:rsidRPr="001E69EA">
        <w:rPr>
          <w:rStyle w:val="AERbody"/>
          <w:rFonts w:eastAsia="Calibri"/>
          <w:b w:val="0"/>
          <w:bCs w:val="0"/>
          <w:i w:val="0"/>
          <w:iCs w:val="0"/>
          <w:szCs w:val="22"/>
        </w:rPr>
        <w:t xml:space="preserve"> - </w:t>
      </w:r>
      <w:r w:rsidRPr="001E69EA">
        <w:rPr>
          <w:rStyle w:val="AERbody"/>
          <w:rFonts w:eastAsia="Calibri"/>
          <w:b w:val="0"/>
          <w:bCs w:val="0"/>
          <w:i w:val="0"/>
          <w:iCs w:val="0"/>
          <w:szCs w:val="22"/>
        </w:rPr>
        <w:t xml:space="preserve">important </w:t>
      </w:r>
      <w:r w:rsidR="004757FD" w:rsidRPr="001E69EA">
        <w:rPr>
          <w:rStyle w:val="AERbody"/>
          <w:rFonts w:eastAsia="Calibri"/>
          <w:b w:val="0"/>
          <w:bCs w:val="0"/>
          <w:i w:val="0"/>
          <w:iCs w:val="0"/>
          <w:szCs w:val="22"/>
        </w:rPr>
        <w:t xml:space="preserve">for </w:t>
      </w:r>
      <w:r w:rsidRPr="001E69EA">
        <w:rPr>
          <w:rStyle w:val="AERbody"/>
          <w:rFonts w:eastAsia="Calibri"/>
          <w:b w:val="0"/>
          <w:bCs w:val="0"/>
          <w:i w:val="0"/>
          <w:iCs w:val="0"/>
          <w:szCs w:val="22"/>
        </w:rPr>
        <w:t>substation costs</w:t>
      </w:r>
      <w:r w:rsidR="00F15E36" w:rsidRPr="001E69EA">
        <w:rPr>
          <w:rStyle w:val="AERbody"/>
          <w:rFonts w:eastAsia="Calibri"/>
          <w:b w:val="0"/>
          <w:bCs w:val="0"/>
          <w:i w:val="0"/>
          <w:iCs w:val="0"/>
          <w:szCs w:val="22"/>
        </w:rPr>
        <w:t xml:space="preserve"> </w:t>
      </w:r>
    </w:p>
    <w:p w:rsidR="009B7E5E" w:rsidRPr="001E69EA" w:rsidRDefault="00692E44" w:rsidP="001E69EA">
      <w:pPr>
        <w:pStyle w:val="Heading2"/>
        <w:rPr>
          <w:rStyle w:val="AERbody"/>
          <w:rFonts w:eastAsia="Calibri"/>
          <w:bCs w:val="0"/>
          <w:i w:val="0"/>
          <w:iCs w:val="0"/>
          <w:szCs w:val="22"/>
        </w:rPr>
      </w:pPr>
      <w:r w:rsidRPr="001E69EA">
        <w:rPr>
          <w:rStyle w:val="AERbody"/>
          <w:rFonts w:eastAsia="Calibri"/>
          <w:bCs w:val="0"/>
          <w:i w:val="0"/>
          <w:iCs w:val="0"/>
          <w:szCs w:val="22"/>
        </w:rPr>
        <w:t>Comments on estimation, recording and reporting of unit cost estimates</w:t>
      </w:r>
    </w:p>
    <w:p w:rsidR="001F7FB2" w:rsidRPr="001E69EA" w:rsidRDefault="00692E44" w:rsidP="001E69EA">
      <w:pPr>
        <w:pStyle w:val="Heading2"/>
        <w:rPr>
          <w:rStyle w:val="AERbody"/>
          <w:rFonts w:eastAsia="Calibri"/>
          <w:b w:val="0"/>
          <w:bCs w:val="0"/>
          <w:i w:val="0"/>
          <w:iCs w:val="0"/>
          <w:szCs w:val="22"/>
        </w:rPr>
      </w:pPr>
      <w:r w:rsidRPr="001E69EA">
        <w:rPr>
          <w:rStyle w:val="AERbody"/>
          <w:rFonts w:eastAsia="Calibri"/>
          <w:b w:val="0"/>
          <w:bCs w:val="0"/>
          <w:i w:val="0"/>
          <w:iCs w:val="0"/>
          <w:szCs w:val="22"/>
        </w:rPr>
        <w:t>Following the discussion of works categories, AER</w:t>
      </w:r>
      <w:r w:rsidR="001F7FB2" w:rsidRPr="001E69EA">
        <w:rPr>
          <w:rStyle w:val="AERbody"/>
          <w:rFonts w:eastAsia="Calibri"/>
          <w:b w:val="0"/>
          <w:bCs w:val="0"/>
          <w:i w:val="0"/>
          <w:iCs w:val="0"/>
          <w:szCs w:val="22"/>
        </w:rPr>
        <w:t xml:space="preserve"> staff </w:t>
      </w:r>
      <w:r w:rsidRPr="001E69EA">
        <w:rPr>
          <w:rStyle w:val="AERbody"/>
          <w:rFonts w:eastAsia="Calibri"/>
          <w:b w:val="0"/>
          <w:bCs w:val="0"/>
          <w:i w:val="0"/>
          <w:iCs w:val="0"/>
          <w:szCs w:val="22"/>
        </w:rPr>
        <w:t>discuss</w:t>
      </w:r>
      <w:r w:rsidR="001F7FB2" w:rsidRPr="001E69EA">
        <w:rPr>
          <w:rStyle w:val="AERbody"/>
          <w:rFonts w:eastAsia="Calibri"/>
          <w:b w:val="0"/>
          <w:bCs w:val="0"/>
          <w:i w:val="0"/>
          <w:iCs w:val="0"/>
          <w:szCs w:val="22"/>
        </w:rPr>
        <w:t>ed</w:t>
      </w:r>
      <w:r w:rsidRPr="001E69EA">
        <w:rPr>
          <w:rStyle w:val="AERbody"/>
          <w:rFonts w:eastAsia="Calibri"/>
          <w:b w:val="0"/>
          <w:bCs w:val="0"/>
          <w:i w:val="0"/>
          <w:iCs w:val="0"/>
          <w:szCs w:val="22"/>
        </w:rPr>
        <w:t xml:space="preserve"> estimation of unit costs and the recording </w:t>
      </w:r>
      <w:r w:rsidR="00753E6F" w:rsidRPr="001E69EA">
        <w:rPr>
          <w:rStyle w:val="AERbody"/>
          <w:rFonts w:eastAsia="Calibri"/>
          <w:b w:val="0"/>
          <w:bCs w:val="0"/>
          <w:i w:val="0"/>
          <w:iCs w:val="0"/>
          <w:szCs w:val="22"/>
        </w:rPr>
        <w:t xml:space="preserve">of </w:t>
      </w:r>
      <w:r w:rsidRPr="001E69EA">
        <w:rPr>
          <w:rStyle w:val="AERbody"/>
          <w:rFonts w:eastAsia="Calibri"/>
          <w:b w:val="0"/>
          <w:bCs w:val="0"/>
          <w:i w:val="0"/>
          <w:iCs w:val="0"/>
          <w:szCs w:val="22"/>
        </w:rPr>
        <w:t xml:space="preserve">key input costs on projects. </w:t>
      </w:r>
      <w:r w:rsidR="00857E62" w:rsidRPr="001E69EA">
        <w:rPr>
          <w:rStyle w:val="AERbody"/>
          <w:rFonts w:eastAsia="Calibri"/>
          <w:b w:val="0"/>
          <w:bCs w:val="0"/>
          <w:i w:val="0"/>
          <w:iCs w:val="0"/>
          <w:szCs w:val="22"/>
        </w:rPr>
        <w:t xml:space="preserve">AER </w:t>
      </w:r>
      <w:r w:rsidR="004757FD" w:rsidRPr="001E69EA">
        <w:rPr>
          <w:rStyle w:val="AERbody"/>
          <w:rFonts w:eastAsia="Calibri"/>
          <w:b w:val="0"/>
          <w:bCs w:val="0"/>
          <w:i w:val="0"/>
          <w:iCs w:val="0"/>
          <w:szCs w:val="22"/>
        </w:rPr>
        <w:t>s</w:t>
      </w:r>
      <w:r w:rsidRPr="001E69EA">
        <w:rPr>
          <w:rStyle w:val="AERbody"/>
          <w:rFonts w:eastAsia="Calibri"/>
          <w:b w:val="0"/>
          <w:bCs w:val="0"/>
          <w:i w:val="0"/>
          <w:iCs w:val="0"/>
          <w:szCs w:val="22"/>
        </w:rPr>
        <w:t xml:space="preserve">taff indicated this was to allow the regulator to </w:t>
      </w:r>
      <w:r w:rsidR="001F7FB2" w:rsidRPr="001E69EA">
        <w:rPr>
          <w:rStyle w:val="AERbody"/>
          <w:rFonts w:eastAsia="Calibri"/>
          <w:b w:val="0"/>
          <w:bCs w:val="0"/>
          <w:i w:val="0"/>
          <w:iCs w:val="0"/>
          <w:szCs w:val="22"/>
        </w:rPr>
        <w:t xml:space="preserve">better assess capital expenditure proposal costs. </w:t>
      </w:r>
      <w:r w:rsidR="004757FD" w:rsidRPr="001E69EA">
        <w:rPr>
          <w:rStyle w:val="AERbody"/>
          <w:rFonts w:eastAsia="Calibri"/>
          <w:b w:val="0"/>
          <w:bCs w:val="0"/>
          <w:i w:val="0"/>
          <w:iCs w:val="0"/>
          <w:szCs w:val="22"/>
        </w:rPr>
        <w:t>T</w:t>
      </w:r>
      <w:r w:rsidR="001F7FB2" w:rsidRPr="001E69EA">
        <w:rPr>
          <w:rStyle w:val="AERbody"/>
          <w:rFonts w:eastAsia="Calibri"/>
          <w:b w:val="0"/>
          <w:bCs w:val="0"/>
          <w:i w:val="0"/>
          <w:iCs w:val="0"/>
          <w:szCs w:val="22"/>
        </w:rPr>
        <w:t>he collection of cost data would also be used to develop and refine ‘price books’ containing the costs for standard elements used in projects.</w:t>
      </w:r>
    </w:p>
    <w:p w:rsidR="001F7FB2" w:rsidRPr="001E69EA" w:rsidRDefault="001F7FB2" w:rsidP="001E69EA">
      <w:pPr>
        <w:pStyle w:val="Heading2"/>
        <w:rPr>
          <w:rStyle w:val="AERbody"/>
          <w:rFonts w:eastAsia="Calibri"/>
          <w:b w:val="0"/>
          <w:bCs w:val="0"/>
          <w:i w:val="0"/>
          <w:iCs w:val="0"/>
          <w:szCs w:val="22"/>
        </w:rPr>
      </w:pPr>
      <w:r w:rsidRPr="001E69EA">
        <w:rPr>
          <w:rStyle w:val="AERbody"/>
          <w:rFonts w:eastAsia="Calibri"/>
          <w:b w:val="0"/>
          <w:bCs w:val="0"/>
          <w:i w:val="0"/>
          <w:iCs w:val="0"/>
          <w:szCs w:val="22"/>
        </w:rPr>
        <w:t>Comments of participants included the following</w:t>
      </w:r>
      <w:r w:rsidR="00857E62" w:rsidRPr="001E69EA">
        <w:rPr>
          <w:rStyle w:val="AERbody"/>
          <w:rFonts w:eastAsia="Calibri"/>
          <w:b w:val="0"/>
          <w:bCs w:val="0"/>
          <w:i w:val="0"/>
          <w:iCs w:val="0"/>
          <w:szCs w:val="22"/>
        </w:rPr>
        <w:t>:</w:t>
      </w:r>
    </w:p>
    <w:p w:rsidR="00740FC2" w:rsidRPr="001E69EA" w:rsidRDefault="004757FD"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k</w:t>
      </w:r>
      <w:r w:rsidR="001F7FB2" w:rsidRPr="001E69EA">
        <w:rPr>
          <w:rStyle w:val="AERbody"/>
          <w:rFonts w:eastAsia="Calibri"/>
          <w:b w:val="0"/>
          <w:bCs w:val="0"/>
          <w:i w:val="0"/>
          <w:iCs w:val="0"/>
          <w:szCs w:val="22"/>
        </w:rPr>
        <w:t>ey assets that drive cost are principally contained in the Grid Australia submission on the AER</w:t>
      </w:r>
      <w:r w:rsidR="002555C4" w:rsidRPr="001E69EA">
        <w:rPr>
          <w:rStyle w:val="AERbody"/>
          <w:rFonts w:eastAsia="Calibri"/>
          <w:b w:val="0"/>
          <w:bCs w:val="0"/>
          <w:i w:val="0"/>
          <w:iCs w:val="0"/>
          <w:szCs w:val="22"/>
        </w:rPr>
        <w:t>’s expenditure assessment</w:t>
      </w:r>
      <w:r w:rsidR="001F7FB2" w:rsidRPr="001E69EA">
        <w:rPr>
          <w:rStyle w:val="AERbody"/>
          <w:rFonts w:eastAsia="Calibri"/>
          <w:b w:val="0"/>
          <w:bCs w:val="0"/>
          <w:i w:val="0"/>
          <w:iCs w:val="0"/>
          <w:szCs w:val="22"/>
        </w:rPr>
        <w:t xml:space="preserve"> issues paper and include: substations; switch bays; transformers; reactive plant; secondary systems; transmission lines; transmission cables; and communications and IT.</w:t>
      </w:r>
    </w:p>
    <w:p w:rsidR="00740FC2" w:rsidRPr="001E69EA" w:rsidRDefault="004C7AF6"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lastRenderedPageBreak/>
        <w:t>Much of the equipment is standard across different projects.</w:t>
      </w:r>
    </w:p>
    <w:p w:rsidR="00740FC2" w:rsidRPr="001E69EA" w:rsidRDefault="004C7AF6"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 xml:space="preserve">Recording unit costs may be difficult as most work is contracted out </w:t>
      </w:r>
      <w:r w:rsidR="00F076D7" w:rsidRPr="001E69EA">
        <w:rPr>
          <w:rStyle w:val="AERbody"/>
          <w:rFonts w:eastAsia="Calibri"/>
          <w:b w:val="0"/>
          <w:bCs w:val="0"/>
          <w:i w:val="0"/>
          <w:iCs w:val="0"/>
          <w:szCs w:val="22"/>
        </w:rPr>
        <w:t xml:space="preserve">on a supply and install basis at various levels of aggregation </w:t>
      </w:r>
      <w:r w:rsidRPr="001E69EA">
        <w:rPr>
          <w:rStyle w:val="AERbody"/>
          <w:rFonts w:eastAsia="Calibri"/>
          <w:b w:val="0"/>
          <w:bCs w:val="0"/>
          <w:i w:val="0"/>
          <w:iCs w:val="0"/>
          <w:szCs w:val="22"/>
        </w:rPr>
        <w:t xml:space="preserve">and the price will </w:t>
      </w:r>
      <w:r w:rsidR="00F076D7" w:rsidRPr="001E69EA">
        <w:rPr>
          <w:rStyle w:val="AERbody"/>
          <w:rFonts w:eastAsia="Calibri"/>
          <w:b w:val="0"/>
          <w:bCs w:val="0"/>
          <w:i w:val="0"/>
          <w:iCs w:val="0"/>
          <w:szCs w:val="22"/>
        </w:rPr>
        <w:t>reflect variances in contractor pricing allocation and the level of aggregation relevant to each project</w:t>
      </w:r>
      <w:r w:rsidRPr="001E69EA">
        <w:rPr>
          <w:rStyle w:val="AERbody"/>
          <w:rFonts w:eastAsia="Calibri"/>
          <w:b w:val="0"/>
          <w:bCs w:val="0"/>
          <w:i w:val="0"/>
          <w:iCs w:val="0"/>
          <w:szCs w:val="22"/>
        </w:rPr>
        <w:t>. Therefore, equipment costs may not be separately recorded from installation, transport and other cost</w:t>
      </w:r>
      <w:r w:rsidR="004757FD" w:rsidRPr="001E69EA">
        <w:rPr>
          <w:rStyle w:val="AERbody"/>
          <w:rFonts w:eastAsia="Calibri"/>
          <w:b w:val="0"/>
          <w:bCs w:val="0"/>
          <w:i w:val="0"/>
          <w:iCs w:val="0"/>
          <w:szCs w:val="22"/>
        </w:rPr>
        <w:t>s</w:t>
      </w:r>
      <w:r w:rsidRPr="001E69EA">
        <w:rPr>
          <w:rStyle w:val="AERbody"/>
          <w:rFonts w:eastAsia="Calibri"/>
          <w:b w:val="0"/>
          <w:bCs w:val="0"/>
          <w:i w:val="0"/>
          <w:iCs w:val="0"/>
          <w:szCs w:val="22"/>
        </w:rPr>
        <w:t xml:space="preserve">. </w:t>
      </w:r>
    </w:p>
    <w:p w:rsidR="00740FC2" w:rsidRPr="001E69EA" w:rsidRDefault="004C7AF6"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TNSPs often do not do much of their own inte</w:t>
      </w:r>
      <w:r w:rsidR="00857E62" w:rsidRPr="001E69EA">
        <w:rPr>
          <w:rStyle w:val="AERbody"/>
          <w:rFonts w:eastAsia="Calibri"/>
          <w:b w:val="0"/>
          <w:bCs w:val="0"/>
          <w:i w:val="0"/>
          <w:iCs w:val="0"/>
          <w:szCs w:val="22"/>
        </w:rPr>
        <w:t>rnal benchmarking. However, TNSPs</w:t>
      </w:r>
      <w:r w:rsidRPr="001E69EA">
        <w:rPr>
          <w:rStyle w:val="AERbody"/>
          <w:rFonts w:eastAsia="Calibri"/>
          <w:b w:val="0"/>
          <w:bCs w:val="0"/>
          <w:i w:val="0"/>
          <w:iCs w:val="0"/>
          <w:szCs w:val="22"/>
        </w:rPr>
        <w:t xml:space="preserve"> do have internal price estimation manual</w:t>
      </w:r>
      <w:r w:rsidR="007958A2" w:rsidRPr="001E69EA">
        <w:rPr>
          <w:rStyle w:val="AERbody"/>
          <w:rFonts w:eastAsia="Calibri"/>
          <w:b w:val="0"/>
          <w:bCs w:val="0"/>
          <w:i w:val="0"/>
          <w:iCs w:val="0"/>
          <w:szCs w:val="22"/>
        </w:rPr>
        <w:t>s</w:t>
      </w:r>
      <w:r w:rsidRPr="001E69EA">
        <w:rPr>
          <w:rStyle w:val="AERbody"/>
          <w:rFonts w:eastAsia="Calibri"/>
          <w:b w:val="0"/>
          <w:bCs w:val="0"/>
          <w:i w:val="0"/>
          <w:iCs w:val="0"/>
          <w:szCs w:val="22"/>
        </w:rPr>
        <w:t xml:space="preserve"> based on past costs and sometimes will use </w:t>
      </w:r>
      <w:r w:rsidR="007958A2" w:rsidRPr="001E69EA">
        <w:rPr>
          <w:rStyle w:val="AERbody"/>
          <w:rFonts w:eastAsia="Calibri"/>
          <w:b w:val="0"/>
          <w:bCs w:val="0"/>
          <w:i w:val="0"/>
          <w:iCs w:val="0"/>
          <w:szCs w:val="22"/>
        </w:rPr>
        <w:t xml:space="preserve">external parties to come up with estimates (for cross checking purposes). </w:t>
      </w:r>
    </w:p>
    <w:p w:rsidR="00740FC2" w:rsidRPr="001E69EA" w:rsidRDefault="00071FC9"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Releasing any costing data at a highly disaggregated level was not generally supported by TNSPs. This was due to concerns around genuine differences in costs between businesses and the possibility the data would be used ignoring these differences (i.e. out of context).</w:t>
      </w:r>
    </w:p>
    <w:p w:rsidR="00740FC2" w:rsidRPr="001E69EA" w:rsidRDefault="00071FC9"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The AER should consider the estimation/use of statistical distributions</w:t>
      </w:r>
      <w:r w:rsidR="00F076D7" w:rsidRPr="001E69EA">
        <w:rPr>
          <w:rStyle w:val="AERbody"/>
          <w:rFonts w:eastAsia="Calibri"/>
          <w:b w:val="0"/>
          <w:bCs w:val="0"/>
          <w:i w:val="0"/>
          <w:iCs w:val="0"/>
          <w:szCs w:val="22"/>
        </w:rPr>
        <w:t>/ranges</w:t>
      </w:r>
      <w:r w:rsidRPr="001E69EA">
        <w:rPr>
          <w:rStyle w:val="AERbody"/>
          <w:rFonts w:eastAsia="Calibri"/>
          <w:b w:val="0"/>
          <w:bCs w:val="0"/>
          <w:i w:val="0"/>
          <w:iCs w:val="0"/>
          <w:szCs w:val="22"/>
        </w:rPr>
        <w:t xml:space="preserve"> around unit input costs</w:t>
      </w:r>
      <w:r w:rsidR="00F076D7" w:rsidRPr="001E69EA">
        <w:rPr>
          <w:rStyle w:val="AERbody"/>
          <w:rFonts w:eastAsia="Calibri"/>
          <w:b w:val="0"/>
          <w:bCs w:val="0"/>
          <w:i w:val="0"/>
          <w:iCs w:val="0"/>
          <w:szCs w:val="22"/>
        </w:rPr>
        <w:t xml:space="preserve"> rather than a single value</w:t>
      </w:r>
      <w:r w:rsidRPr="001E69EA">
        <w:rPr>
          <w:rStyle w:val="AERbody"/>
          <w:rFonts w:eastAsia="Calibri"/>
          <w:b w:val="0"/>
          <w:bCs w:val="0"/>
          <w:i w:val="0"/>
          <w:iCs w:val="0"/>
          <w:szCs w:val="22"/>
        </w:rPr>
        <w:t>.</w:t>
      </w:r>
    </w:p>
    <w:p w:rsidR="00740FC2" w:rsidRPr="001E69EA" w:rsidRDefault="00071FC9" w:rsidP="001E69EA">
      <w:pPr>
        <w:pStyle w:val="Heading2"/>
        <w:numPr>
          <w:ilvl w:val="0"/>
          <w:numId w:val="14"/>
        </w:numPr>
        <w:rPr>
          <w:rStyle w:val="AERbody"/>
          <w:rFonts w:eastAsia="Calibri"/>
          <w:b w:val="0"/>
          <w:bCs w:val="0"/>
          <w:i w:val="0"/>
          <w:iCs w:val="0"/>
          <w:szCs w:val="22"/>
        </w:rPr>
      </w:pPr>
      <w:r w:rsidRPr="001E69EA">
        <w:rPr>
          <w:rStyle w:val="AERbody"/>
          <w:rFonts w:eastAsia="Calibri"/>
          <w:b w:val="0"/>
          <w:bCs w:val="0"/>
          <w:i w:val="0"/>
          <w:iCs w:val="0"/>
          <w:szCs w:val="22"/>
        </w:rPr>
        <w:t xml:space="preserve">TNSPs have more reliable cost estimates around new projects. </w:t>
      </w:r>
    </w:p>
    <w:p w:rsidR="004757FD" w:rsidRDefault="004757FD" w:rsidP="004757FD"/>
    <w:p w:rsidR="007958A2" w:rsidRPr="001E69EA" w:rsidRDefault="006B4BB9" w:rsidP="001E69EA">
      <w:pPr>
        <w:pStyle w:val="Heading2"/>
        <w:rPr>
          <w:rStyle w:val="AERbody"/>
          <w:rFonts w:asciiTheme="majorHAnsi" w:eastAsia="Calibri" w:hAnsiTheme="majorHAnsi"/>
          <w:bCs w:val="0"/>
          <w:iCs w:val="0"/>
          <w:sz w:val="28"/>
        </w:rPr>
      </w:pPr>
      <w:r w:rsidRPr="001E69EA">
        <w:rPr>
          <w:rStyle w:val="AERbody"/>
          <w:rFonts w:asciiTheme="majorHAnsi" w:eastAsia="Calibri" w:hAnsiTheme="majorHAnsi"/>
          <w:bCs w:val="0"/>
          <w:iCs w:val="0"/>
          <w:sz w:val="28"/>
        </w:rPr>
        <w:t>3</w:t>
      </w:r>
      <w:r w:rsidR="00B33ECD" w:rsidRPr="001E69EA">
        <w:rPr>
          <w:rStyle w:val="AERbody"/>
          <w:rFonts w:asciiTheme="majorHAnsi" w:eastAsia="Calibri" w:hAnsiTheme="majorHAnsi"/>
          <w:bCs w:val="0"/>
          <w:iCs w:val="0"/>
          <w:sz w:val="28"/>
        </w:rPr>
        <w:tab/>
        <w:t>Other matters</w:t>
      </w:r>
      <w:r w:rsidR="007958A2" w:rsidRPr="001E69EA">
        <w:rPr>
          <w:rStyle w:val="AERbody"/>
          <w:rFonts w:asciiTheme="majorHAnsi" w:eastAsia="Calibri" w:hAnsiTheme="majorHAnsi"/>
          <w:bCs w:val="0"/>
          <w:iCs w:val="0"/>
          <w:sz w:val="28"/>
        </w:rPr>
        <w:t xml:space="preserve"> raised by participants</w:t>
      </w:r>
    </w:p>
    <w:p w:rsidR="004757FD" w:rsidRPr="001E69EA" w:rsidRDefault="00857E62" w:rsidP="001E69EA">
      <w:pPr>
        <w:pStyle w:val="Heading2"/>
        <w:rPr>
          <w:rStyle w:val="AERbody"/>
          <w:rFonts w:eastAsia="Calibri"/>
          <w:b w:val="0"/>
          <w:bCs w:val="0"/>
          <w:i w:val="0"/>
          <w:iCs w:val="0"/>
          <w:szCs w:val="22"/>
        </w:rPr>
      </w:pPr>
      <w:r w:rsidRPr="001E69EA">
        <w:rPr>
          <w:rStyle w:val="AERbody"/>
          <w:rFonts w:eastAsia="Calibri"/>
          <w:b w:val="0"/>
          <w:bCs w:val="0"/>
          <w:i w:val="0"/>
          <w:iCs w:val="0"/>
          <w:szCs w:val="22"/>
        </w:rPr>
        <w:t>TNSPs opposed the collection of any data in relation to non</w:t>
      </w:r>
      <w:r w:rsidR="004757FD" w:rsidRPr="001E69EA">
        <w:rPr>
          <w:rStyle w:val="AERbody"/>
          <w:rFonts w:eastAsia="Calibri"/>
          <w:b w:val="0"/>
          <w:bCs w:val="0"/>
          <w:i w:val="0"/>
          <w:iCs w:val="0"/>
          <w:szCs w:val="22"/>
        </w:rPr>
        <w:t>-</w:t>
      </w:r>
      <w:r w:rsidRPr="001E69EA">
        <w:rPr>
          <w:rStyle w:val="AERbody"/>
          <w:rFonts w:eastAsia="Calibri"/>
          <w:b w:val="0"/>
          <w:bCs w:val="0"/>
          <w:i w:val="0"/>
          <w:iCs w:val="0"/>
          <w:szCs w:val="22"/>
        </w:rPr>
        <w:t>regulated services. They considered this outside the AER</w:t>
      </w:r>
      <w:r w:rsidR="004757FD" w:rsidRPr="001E69EA">
        <w:rPr>
          <w:rStyle w:val="AERbody"/>
          <w:rFonts w:eastAsia="Calibri"/>
          <w:b w:val="0"/>
          <w:bCs w:val="0"/>
          <w:i w:val="0"/>
          <w:iCs w:val="0"/>
          <w:szCs w:val="22"/>
        </w:rPr>
        <w:t>’</w:t>
      </w:r>
      <w:r w:rsidRPr="001E69EA">
        <w:rPr>
          <w:rStyle w:val="AERbody"/>
          <w:rFonts w:eastAsia="Calibri"/>
          <w:b w:val="0"/>
          <w:bCs w:val="0"/>
          <w:i w:val="0"/>
          <w:iCs w:val="0"/>
          <w:szCs w:val="22"/>
        </w:rPr>
        <w:t xml:space="preserve">s area of responsibility. It was commented that the AER should apply the definitions of prescribed, negotiated and non-regulated </w:t>
      </w:r>
      <w:r w:rsidR="004757FD" w:rsidRPr="001E69EA">
        <w:rPr>
          <w:rStyle w:val="AERbody"/>
          <w:rFonts w:eastAsia="Calibri"/>
          <w:b w:val="0"/>
          <w:bCs w:val="0"/>
          <w:i w:val="0"/>
          <w:iCs w:val="0"/>
          <w:szCs w:val="22"/>
        </w:rPr>
        <w:t xml:space="preserve">services </w:t>
      </w:r>
      <w:r w:rsidRPr="001E69EA">
        <w:rPr>
          <w:rStyle w:val="AERbody"/>
          <w:rFonts w:eastAsia="Calibri"/>
          <w:b w:val="0"/>
          <w:bCs w:val="0"/>
          <w:i w:val="0"/>
          <w:iCs w:val="0"/>
          <w:szCs w:val="22"/>
        </w:rPr>
        <w:t xml:space="preserve">as </w:t>
      </w:r>
      <w:r w:rsidR="004757FD" w:rsidRPr="001E69EA">
        <w:rPr>
          <w:rStyle w:val="AERbody"/>
          <w:rFonts w:eastAsia="Calibri"/>
          <w:b w:val="0"/>
          <w:bCs w:val="0"/>
          <w:i w:val="0"/>
          <w:iCs w:val="0"/>
          <w:szCs w:val="22"/>
        </w:rPr>
        <w:t xml:space="preserve">found </w:t>
      </w:r>
      <w:r w:rsidRPr="001E69EA">
        <w:rPr>
          <w:rStyle w:val="AERbody"/>
          <w:rFonts w:eastAsia="Calibri"/>
          <w:b w:val="0"/>
          <w:bCs w:val="0"/>
          <w:i w:val="0"/>
          <w:iCs w:val="0"/>
          <w:szCs w:val="22"/>
        </w:rPr>
        <w:t>in the rules</w:t>
      </w:r>
      <w:r w:rsidR="004757FD" w:rsidRPr="001E69EA">
        <w:rPr>
          <w:rStyle w:val="AERbody"/>
          <w:rFonts w:eastAsia="Calibri"/>
          <w:b w:val="0"/>
          <w:bCs w:val="0"/>
          <w:i w:val="0"/>
          <w:iCs w:val="0"/>
          <w:szCs w:val="22"/>
        </w:rPr>
        <w:t xml:space="preserve"> and also discussed in the Grid Australia guidelines</w:t>
      </w:r>
      <w:r w:rsidRPr="001E69EA">
        <w:rPr>
          <w:rStyle w:val="AERbody"/>
          <w:rFonts w:eastAsia="Calibri"/>
          <w:b w:val="0"/>
          <w:bCs w:val="0"/>
          <w:i w:val="0"/>
          <w:iCs w:val="0"/>
          <w:szCs w:val="22"/>
        </w:rPr>
        <w:t xml:space="preserve">. </w:t>
      </w:r>
    </w:p>
    <w:p w:rsidR="00857E62" w:rsidRDefault="004757FD" w:rsidP="0002450F">
      <w:r>
        <w:br w:type="page"/>
      </w:r>
    </w:p>
    <w:p w:rsidR="001934EC" w:rsidRDefault="001934EC" w:rsidP="0002450F">
      <w:pPr>
        <w:pStyle w:val="Heading1"/>
      </w:pPr>
      <w:r w:rsidRPr="001934EC">
        <w:t>Attachment A</w:t>
      </w:r>
      <w:r>
        <w:t xml:space="preserve">: </w:t>
      </w:r>
      <w:r w:rsidRPr="001934EC">
        <w:t>Attendee list</w:t>
      </w:r>
    </w:p>
    <w:p w:rsidR="00740FC2" w:rsidRDefault="00740FC2"/>
    <w:p w:rsidR="001934EC" w:rsidRPr="000765B6" w:rsidRDefault="00453A2B" w:rsidP="0002450F">
      <w:pPr>
        <w:rPr>
          <w:b/>
        </w:rPr>
      </w:pPr>
      <w:r w:rsidRPr="00453A2B">
        <w:rPr>
          <w:b/>
        </w:rPr>
        <w:t>Melbourne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1934EC" w:rsidRPr="00C328B4" w:rsidTr="001934EC">
        <w:trPr>
          <w:trHeight w:val="300"/>
        </w:trPr>
        <w:tc>
          <w:tcPr>
            <w:tcW w:w="2422" w:type="dxa"/>
            <w:shd w:val="clear" w:color="auto" w:fill="auto"/>
            <w:noWrap/>
            <w:vAlign w:val="bottom"/>
            <w:hideMark/>
          </w:tcPr>
          <w:p w:rsidR="001934EC" w:rsidRPr="000765B6" w:rsidRDefault="00453A2B" w:rsidP="00AC3789">
            <w:pPr>
              <w:spacing w:after="0"/>
              <w:rPr>
                <w:b/>
                <w:lang w:eastAsia="en-AU"/>
              </w:rPr>
            </w:pPr>
            <w:r w:rsidRPr="00453A2B">
              <w:rPr>
                <w:b/>
                <w:lang w:eastAsia="en-AU"/>
              </w:rPr>
              <w:t>Name</w:t>
            </w:r>
          </w:p>
        </w:tc>
        <w:tc>
          <w:tcPr>
            <w:tcW w:w="3686" w:type="dxa"/>
            <w:shd w:val="clear" w:color="auto" w:fill="auto"/>
            <w:noWrap/>
            <w:vAlign w:val="bottom"/>
            <w:hideMark/>
          </w:tcPr>
          <w:p w:rsidR="001934EC" w:rsidRPr="000765B6" w:rsidRDefault="00453A2B" w:rsidP="00AC3789">
            <w:pPr>
              <w:spacing w:after="0"/>
              <w:rPr>
                <w:b/>
                <w:lang w:eastAsia="en-AU"/>
              </w:rPr>
            </w:pPr>
            <w:r w:rsidRPr="00453A2B">
              <w:rPr>
                <w:b/>
                <w:lang w:eastAsia="en-AU"/>
              </w:rPr>
              <w:t>Organisation</w:t>
            </w:r>
          </w:p>
        </w:tc>
      </w:tr>
      <w:tr w:rsidR="008F1687" w:rsidRPr="00BC4991" w:rsidTr="001934EC">
        <w:trPr>
          <w:trHeight w:val="300"/>
        </w:trPr>
        <w:tc>
          <w:tcPr>
            <w:tcW w:w="2422" w:type="dxa"/>
            <w:shd w:val="clear" w:color="auto" w:fill="auto"/>
            <w:noWrap/>
            <w:vAlign w:val="bottom"/>
            <w:hideMark/>
          </w:tcPr>
          <w:p w:rsidR="008F1687" w:rsidRPr="00282E52" w:rsidRDefault="00857E62" w:rsidP="00AC3789">
            <w:pPr>
              <w:spacing w:after="0"/>
              <w:rPr>
                <w:lang w:eastAsia="en-AU"/>
              </w:rPr>
            </w:pPr>
            <w:r>
              <w:rPr>
                <w:lang w:eastAsia="en-AU"/>
              </w:rPr>
              <w:t>Bill</w:t>
            </w:r>
            <w:r w:rsidR="000F582B">
              <w:rPr>
                <w:lang w:eastAsia="en-AU"/>
              </w:rPr>
              <w:t xml:space="preserve"> Jackson</w:t>
            </w:r>
          </w:p>
        </w:tc>
        <w:tc>
          <w:tcPr>
            <w:tcW w:w="3686" w:type="dxa"/>
            <w:shd w:val="clear" w:color="auto" w:fill="auto"/>
            <w:noWrap/>
            <w:vAlign w:val="bottom"/>
            <w:hideMark/>
          </w:tcPr>
          <w:p w:rsidR="008F1687" w:rsidRPr="00282E52" w:rsidRDefault="000F582B" w:rsidP="00AC3789">
            <w:pPr>
              <w:spacing w:after="0"/>
              <w:rPr>
                <w:lang w:eastAsia="en-AU"/>
              </w:rPr>
            </w:pPr>
            <w:r>
              <w:rPr>
                <w:lang w:eastAsia="en-AU"/>
              </w:rPr>
              <w:t>ElectraNet</w:t>
            </w:r>
          </w:p>
        </w:tc>
      </w:tr>
      <w:tr w:rsidR="008F1687" w:rsidRPr="00BC4991" w:rsidTr="001934EC">
        <w:trPr>
          <w:trHeight w:val="300"/>
        </w:trPr>
        <w:tc>
          <w:tcPr>
            <w:tcW w:w="2422" w:type="dxa"/>
            <w:shd w:val="clear" w:color="auto" w:fill="auto"/>
            <w:noWrap/>
            <w:vAlign w:val="bottom"/>
          </w:tcPr>
          <w:p w:rsidR="008F1687" w:rsidRPr="00282E52" w:rsidRDefault="00857E62" w:rsidP="00AC3789">
            <w:pPr>
              <w:spacing w:after="0"/>
              <w:rPr>
                <w:lang w:eastAsia="en-AU"/>
              </w:rPr>
            </w:pPr>
            <w:r>
              <w:rPr>
                <w:lang w:eastAsia="en-AU"/>
              </w:rPr>
              <w:t>Andrew</w:t>
            </w:r>
            <w:r w:rsidR="00036D51">
              <w:rPr>
                <w:lang w:eastAsia="en-AU"/>
              </w:rPr>
              <w:t xml:space="preserve"> Kingsmill</w:t>
            </w:r>
          </w:p>
        </w:tc>
        <w:tc>
          <w:tcPr>
            <w:tcW w:w="3686" w:type="dxa"/>
            <w:shd w:val="clear" w:color="auto" w:fill="auto"/>
            <w:noWrap/>
            <w:vAlign w:val="bottom"/>
          </w:tcPr>
          <w:p w:rsidR="008F1687" w:rsidRPr="00282E52" w:rsidRDefault="00036D51" w:rsidP="00AC3789">
            <w:pPr>
              <w:spacing w:after="0"/>
              <w:rPr>
                <w:lang w:eastAsia="en-AU"/>
              </w:rPr>
            </w:pPr>
            <w:r>
              <w:rPr>
                <w:lang w:eastAsia="en-AU"/>
              </w:rPr>
              <w:t>Trans</w:t>
            </w:r>
            <w:r w:rsidR="00F076D7">
              <w:rPr>
                <w:lang w:eastAsia="en-AU"/>
              </w:rPr>
              <w:t>G</w:t>
            </w:r>
            <w:r>
              <w:rPr>
                <w:lang w:eastAsia="en-AU"/>
              </w:rPr>
              <w:t>rid</w:t>
            </w:r>
          </w:p>
        </w:tc>
      </w:tr>
      <w:tr w:rsidR="004C231C" w:rsidRPr="00BC4991" w:rsidTr="001934EC">
        <w:trPr>
          <w:trHeight w:val="300"/>
        </w:trPr>
        <w:tc>
          <w:tcPr>
            <w:tcW w:w="2422" w:type="dxa"/>
            <w:shd w:val="clear" w:color="auto" w:fill="auto"/>
            <w:noWrap/>
            <w:vAlign w:val="bottom"/>
          </w:tcPr>
          <w:p w:rsidR="004C231C" w:rsidRPr="00282E52" w:rsidRDefault="00857E62" w:rsidP="00AC3789">
            <w:pPr>
              <w:spacing w:after="0"/>
              <w:rPr>
                <w:lang w:eastAsia="en-AU"/>
              </w:rPr>
            </w:pPr>
            <w:r>
              <w:rPr>
                <w:lang w:eastAsia="en-AU"/>
              </w:rPr>
              <w:t>Michael</w:t>
            </w:r>
            <w:r w:rsidR="000F582B">
              <w:rPr>
                <w:lang w:eastAsia="en-AU"/>
              </w:rPr>
              <w:t xml:space="preserve"> Seddon</w:t>
            </w:r>
          </w:p>
        </w:tc>
        <w:tc>
          <w:tcPr>
            <w:tcW w:w="3686" w:type="dxa"/>
            <w:shd w:val="clear" w:color="auto" w:fill="auto"/>
            <w:noWrap/>
            <w:vAlign w:val="bottom"/>
          </w:tcPr>
          <w:p w:rsidR="004C231C" w:rsidRPr="00282E52" w:rsidRDefault="000F582B" w:rsidP="00AC3789">
            <w:pPr>
              <w:spacing w:after="0"/>
              <w:rPr>
                <w:lang w:eastAsia="en-AU"/>
              </w:rPr>
            </w:pPr>
            <w:r>
              <w:rPr>
                <w:lang w:eastAsia="en-AU"/>
              </w:rPr>
              <w:t>Transend Networks</w:t>
            </w:r>
          </w:p>
        </w:tc>
      </w:tr>
      <w:tr w:rsidR="004C231C" w:rsidRPr="00BC4991" w:rsidTr="001934EC">
        <w:trPr>
          <w:trHeight w:val="300"/>
        </w:trPr>
        <w:tc>
          <w:tcPr>
            <w:tcW w:w="2422" w:type="dxa"/>
            <w:shd w:val="clear" w:color="auto" w:fill="auto"/>
            <w:noWrap/>
            <w:vAlign w:val="bottom"/>
          </w:tcPr>
          <w:p w:rsidR="004C231C" w:rsidRPr="00282E52" w:rsidRDefault="004556E2" w:rsidP="00AC3789">
            <w:pPr>
              <w:spacing w:after="0"/>
              <w:rPr>
                <w:lang w:eastAsia="en-AU"/>
              </w:rPr>
            </w:pPr>
            <w:r>
              <w:rPr>
                <w:lang w:eastAsia="en-AU"/>
              </w:rPr>
              <w:t>Katie Yates</w:t>
            </w:r>
          </w:p>
        </w:tc>
        <w:tc>
          <w:tcPr>
            <w:tcW w:w="3686" w:type="dxa"/>
            <w:shd w:val="clear" w:color="auto" w:fill="auto"/>
            <w:noWrap/>
            <w:vAlign w:val="bottom"/>
          </w:tcPr>
          <w:p w:rsidR="004C231C" w:rsidRPr="00282E52" w:rsidRDefault="004556E2" w:rsidP="00AC3789">
            <w:pPr>
              <w:spacing w:after="0"/>
              <w:rPr>
                <w:lang w:eastAsia="en-AU"/>
              </w:rPr>
            </w:pPr>
            <w:r>
              <w:rPr>
                <w:lang w:eastAsia="en-AU"/>
              </w:rPr>
              <w:t>SP AusNet</w:t>
            </w:r>
          </w:p>
        </w:tc>
      </w:tr>
      <w:tr w:rsidR="004556E2" w:rsidRPr="00BC4991" w:rsidTr="001934EC">
        <w:trPr>
          <w:trHeight w:val="300"/>
        </w:trPr>
        <w:tc>
          <w:tcPr>
            <w:tcW w:w="2422" w:type="dxa"/>
            <w:shd w:val="clear" w:color="auto" w:fill="auto"/>
            <w:noWrap/>
            <w:vAlign w:val="bottom"/>
          </w:tcPr>
          <w:p w:rsidR="004556E2" w:rsidRPr="00282E52" w:rsidRDefault="00857E62" w:rsidP="00AC3789">
            <w:pPr>
              <w:spacing w:after="0"/>
              <w:rPr>
                <w:lang w:eastAsia="en-AU"/>
              </w:rPr>
            </w:pPr>
            <w:r>
              <w:rPr>
                <w:lang w:eastAsia="en-AU"/>
              </w:rPr>
              <w:t>Jenny</w:t>
            </w:r>
            <w:r w:rsidR="000F582B">
              <w:rPr>
                <w:lang w:eastAsia="en-AU"/>
              </w:rPr>
              <w:t xml:space="preserve"> Harris</w:t>
            </w:r>
          </w:p>
        </w:tc>
        <w:tc>
          <w:tcPr>
            <w:tcW w:w="3686" w:type="dxa"/>
            <w:shd w:val="clear" w:color="auto" w:fill="auto"/>
            <w:noWrap/>
            <w:vAlign w:val="bottom"/>
          </w:tcPr>
          <w:p w:rsidR="004556E2" w:rsidRPr="00282E52" w:rsidRDefault="000F582B" w:rsidP="00AC3789">
            <w:pPr>
              <w:spacing w:after="0"/>
              <w:rPr>
                <w:lang w:eastAsia="en-AU"/>
              </w:rPr>
            </w:pPr>
            <w:r>
              <w:rPr>
                <w:lang w:eastAsia="en-AU"/>
              </w:rPr>
              <w:t>Powerlink</w:t>
            </w:r>
          </w:p>
        </w:tc>
      </w:tr>
      <w:tr w:rsidR="000F582B" w:rsidRPr="00BC4991" w:rsidTr="001934EC">
        <w:trPr>
          <w:trHeight w:val="300"/>
        </w:trPr>
        <w:tc>
          <w:tcPr>
            <w:tcW w:w="2422" w:type="dxa"/>
            <w:shd w:val="clear" w:color="auto" w:fill="auto"/>
            <w:noWrap/>
            <w:vAlign w:val="bottom"/>
          </w:tcPr>
          <w:p w:rsidR="000F582B" w:rsidRDefault="000F582B" w:rsidP="00AC3789">
            <w:pPr>
              <w:spacing w:after="0"/>
              <w:rPr>
                <w:lang w:eastAsia="en-AU"/>
              </w:rPr>
            </w:pPr>
            <w:r>
              <w:rPr>
                <w:lang w:eastAsia="en-AU"/>
              </w:rPr>
              <w:t>Lawrence Irlam</w:t>
            </w:r>
          </w:p>
        </w:tc>
        <w:tc>
          <w:tcPr>
            <w:tcW w:w="3686" w:type="dxa"/>
            <w:shd w:val="clear" w:color="auto" w:fill="auto"/>
            <w:noWrap/>
            <w:vAlign w:val="bottom"/>
          </w:tcPr>
          <w:p w:rsidR="000F582B" w:rsidRDefault="000F582B" w:rsidP="00AC3789">
            <w:pPr>
              <w:spacing w:after="0"/>
              <w:rPr>
                <w:lang w:eastAsia="en-AU"/>
              </w:rPr>
            </w:pPr>
            <w:r>
              <w:rPr>
                <w:lang w:eastAsia="en-AU"/>
              </w:rPr>
              <w:t>AER</w:t>
            </w:r>
          </w:p>
        </w:tc>
      </w:tr>
      <w:tr w:rsidR="004556E2" w:rsidRPr="00BC4991" w:rsidTr="001934EC">
        <w:trPr>
          <w:trHeight w:val="300"/>
        </w:trPr>
        <w:tc>
          <w:tcPr>
            <w:tcW w:w="2422" w:type="dxa"/>
            <w:shd w:val="clear" w:color="auto" w:fill="auto"/>
            <w:noWrap/>
            <w:vAlign w:val="bottom"/>
          </w:tcPr>
          <w:p w:rsidR="004556E2" w:rsidRPr="00282E52" w:rsidRDefault="004556E2" w:rsidP="00AC3789">
            <w:pPr>
              <w:spacing w:after="0"/>
              <w:rPr>
                <w:lang w:eastAsia="en-AU"/>
              </w:rPr>
            </w:pPr>
            <w:r>
              <w:rPr>
                <w:lang w:eastAsia="en-AU"/>
              </w:rPr>
              <w:t>Paul Dunn</w:t>
            </w:r>
          </w:p>
        </w:tc>
        <w:tc>
          <w:tcPr>
            <w:tcW w:w="3686" w:type="dxa"/>
            <w:shd w:val="clear" w:color="auto" w:fill="auto"/>
            <w:noWrap/>
            <w:vAlign w:val="bottom"/>
          </w:tcPr>
          <w:p w:rsidR="004556E2" w:rsidRPr="00282E52" w:rsidRDefault="004556E2" w:rsidP="00AC3789">
            <w:pPr>
              <w:spacing w:after="0"/>
              <w:rPr>
                <w:lang w:eastAsia="en-AU"/>
              </w:rPr>
            </w:pPr>
            <w:r>
              <w:rPr>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AC3789">
            <w:pPr>
              <w:spacing w:after="0"/>
              <w:rPr>
                <w:lang w:eastAsia="en-AU"/>
              </w:rPr>
            </w:pPr>
            <w:r>
              <w:rPr>
                <w:lang w:eastAsia="en-AU"/>
              </w:rPr>
              <w:t>Esmond Smith</w:t>
            </w:r>
          </w:p>
        </w:tc>
        <w:tc>
          <w:tcPr>
            <w:tcW w:w="3686" w:type="dxa"/>
            <w:shd w:val="clear" w:color="auto" w:fill="auto"/>
            <w:noWrap/>
            <w:vAlign w:val="bottom"/>
          </w:tcPr>
          <w:p w:rsidR="004556E2" w:rsidRPr="00282E52" w:rsidRDefault="004556E2" w:rsidP="00AC3789">
            <w:pPr>
              <w:spacing w:after="0"/>
              <w:rPr>
                <w:lang w:eastAsia="en-AU"/>
              </w:rPr>
            </w:pPr>
            <w:r>
              <w:rPr>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AC3789">
            <w:pPr>
              <w:spacing w:after="0"/>
              <w:rPr>
                <w:lang w:eastAsia="en-AU"/>
              </w:rPr>
            </w:pPr>
            <w:r>
              <w:rPr>
                <w:lang w:eastAsia="en-AU"/>
              </w:rPr>
              <w:t>Matthew Simpson</w:t>
            </w:r>
          </w:p>
        </w:tc>
        <w:tc>
          <w:tcPr>
            <w:tcW w:w="3686" w:type="dxa"/>
            <w:shd w:val="clear" w:color="auto" w:fill="auto"/>
            <w:noWrap/>
            <w:vAlign w:val="bottom"/>
          </w:tcPr>
          <w:p w:rsidR="004556E2" w:rsidRPr="00282E52" w:rsidRDefault="004556E2" w:rsidP="00AC3789">
            <w:pPr>
              <w:spacing w:after="0"/>
              <w:rPr>
                <w:lang w:eastAsia="en-AU"/>
              </w:rPr>
            </w:pPr>
            <w:r>
              <w:rPr>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AC3789">
            <w:pPr>
              <w:spacing w:after="0"/>
              <w:rPr>
                <w:lang w:eastAsia="en-AU"/>
              </w:rPr>
            </w:pPr>
            <w:r>
              <w:rPr>
                <w:lang w:eastAsia="en-AU"/>
              </w:rPr>
              <w:t>Israel del Mundo</w:t>
            </w:r>
          </w:p>
        </w:tc>
        <w:tc>
          <w:tcPr>
            <w:tcW w:w="3686" w:type="dxa"/>
            <w:shd w:val="clear" w:color="auto" w:fill="auto"/>
            <w:noWrap/>
            <w:vAlign w:val="bottom"/>
          </w:tcPr>
          <w:p w:rsidR="004556E2" w:rsidRPr="00282E52" w:rsidRDefault="004556E2" w:rsidP="00AC3789">
            <w:pPr>
              <w:spacing w:after="0"/>
              <w:rPr>
                <w:lang w:eastAsia="en-AU"/>
              </w:rPr>
            </w:pPr>
            <w:r>
              <w:rPr>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AC3789">
            <w:pPr>
              <w:spacing w:after="0"/>
              <w:rPr>
                <w:lang w:eastAsia="en-AU"/>
              </w:rPr>
            </w:pPr>
            <w:r>
              <w:rPr>
                <w:lang w:eastAsia="en-AU"/>
              </w:rPr>
              <w:t>Max Hooper</w:t>
            </w:r>
          </w:p>
        </w:tc>
        <w:tc>
          <w:tcPr>
            <w:tcW w:w="3686" w:type="dxa"/>
            <w:shd w:val="clear" w:color="auto" w:fill="auto"/>
            <w:noWrap/>
            <w:vAlign w:val="bottom"/>
          </w:tcPr>
          <w:p w:rsidR="004556E2" w:rsidRPr="00282E52" w:rsidRDefault="004556E2" w:rsidP="00AC3789">
            <w:pPr>
              <w:spacing w:after="0"/>
              <w:rPr>
                <w:lang w:eastAsia="en-AU"/>
              </w:rPr>
            </w:pPr>
            <w:r>
              <w:rPr>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AC3789">
            <w:pPr>
              <w:spacing w:after="0"/>
              <w:rPr>
                <w:lang w:eastAsia="en-AU"/>
              </w:rPr>
            </w:pPr>
            <w:r>
              <w:rPr>
                <w:lang w:eastAsia="en-AU"/>
              </w:rPr>
              <w:t>Anthony Hynes</w:t>
            </w:r>
          </w:p>
        </w:tc>
        <w:tc>
          <w:tcPr>
            <w:tcW w:w="3686" w:type="dxa"/>
            <w:shd w:val="clear" w:color="auto" w:fill="auto"/>
            <w:noWrap/>
            <w:vAlign w:val="bottom"/>
          </w:tcPr>
          <w:p w:rsidR="004556E2" w:rsidRPr="00282E52" w:rsidRDefault="004556E2" w:rsidP="00AC3789">
            <w:pPr>
              <w:spacing w:after="0"/>
              <w:rPr>
                <w:lang w:eastAsia="en-AU"/>
              </w:rPr>
            </w:pPr>
            <w:r>
              <w:rPr>
                <w:lang w:eastAsia="en-AU"/>
              </w:rPr>
              <w:t>AER</w:t>
            </w:r>
          </w:p>
        </w:tc>
      </w:tr>
    </w:tbl>
    <w:p w:rsidR="008068C0" w:rsidRDefault="008068C0" w:rsidP="0002450F"/>
    <w:sectPr w:rsidR="008068C0" w:rsidSect="00913FA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F3A" w:rsidRDefault="006C2F3A" w:rsidP="0002450F">
      <w:r>
        <w:separator/>
      </w:r>
    </w:p>
  </w:endnote>
  <w:endnote w:type="continuationSeparator" w:id="0">
    <w:p w:rsidR="006C2F3A" w:rsidRDefault="006C2F3A" w:rsidP="00024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3A" w:rsidRDefault="00491013" w:rsidP="0002450F">
    <w:pPr>
      <w:pStyle w:val="Footer"/>
    </w:pPr>
    <w:fldSimple w:instr=" PAGE   \* MERGEFORMAT ">
      <w:r w:rsidR="00DE3650">
        <w:rPr>
          <w:noProof/>
        </w:rPr>
        <w:t>1</w:t>
      </w:r>
    </w:fldSimple>
  </w:p>
  <w:p w:rsidR="006C2F3A" w:rsidRDefault="006C2F3A" w:rsidP="00024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3A" w:rsidRDefault="006C2F3A" w:rsidP="0002450F">
      <w:r>
        <w:separator/>
      </w:r>
    </w:p>
  </w:footnote>
  <w:footnote w:type="continuationSeparator" w:id="0">
    <w:p w:rsidR="006C2F3A" w:rsidRDefault="006C2F3A" w:rsidP="00024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ADB"/>
    <w:multiLevelType w:val="hybridMultilevel"/>
    <w:tmpl w:val="DD0C9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704EF2"/>
    <w:multiLevelType w:val="hybridMultilevel"/>
    <w:tmpl w:val="BEBE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3A0AEC"/>
    <w:multiLevelType w:val="hybridMultilevel"/>
    <w:tmpl w:val="6BD2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9B4C5C"/>
    <w:multiLevelType w:val="hybridMultilevel"/>
    <w:tmpl w:val="2E0279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A5575B"/>
    <w:multiLevelType w:val="hybridMultilevel"/>
    <w:tmpl w:val="2BEA19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550E52"/>
    <w:multiLevelType w:val="hybridMultilevel"/>
    <w:tmpl w:val="86E4615E"/>
    <w:lvl w:ilvl="0" w:tplc="929838C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9A4232"/>
    <w:multiLevelType w:val="hybridMultilevel"/>
    <w:tmpl w:val="91840BD6"/>
    <w:lvl w:ilvl="0" w:tplc="7F1CDBAA">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7269F0"/>
    <w:multiLevelType w:val="hybridMultilevel"/>
    <w:tmpl w:val="8C644622"/>
    <w:lvl w:ilvl="0" w:tplc="F106F3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68403B6"/>
    <w:multiLevelType w:val="hybridMultilevel"/>
    <w:tmpl w:val="FD960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EF51B6"/>
    <w:multiLevelType w:val="hybridMultilevel"/>
    <w:tmpl w:val="4E267D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D5F0543"/>
    <w:multiLevelType w:val="hybridMultilevel"/>
    <w:tmpl w:val="259405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4"/>
  </w:num>
  <w:num w:numId="6">
    <w:abstractNumId w:val="0"/>
  </w:num>
  <w:num w:numId="7">
    <w:abstractNumId w:val="9"/>
  </w:num>
  <w:num w:numId="8">
    <w:abstractNumId w:val="7"/>
  </w:num>
  <w:num w:numId="9">
    <w:abstractNumId w:val="5"/>
  </w:num>
  <w:num w:numId="10">
    <w:abstractNumId w:val="10"/>
  </w:num>
  <w:num w:numId="11">
    <w:abstractNumId w:val="12"/>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1156\D13 49268  Expenditure Forecast Assessment Guidelines Working Group meeting No 5 - 19 March 2013 - Category Assessment - Connections and Customer Driven Works - Summary of meeting - final.DOCX"/>
  </w:docVars>
  <w:rsids>
    <w:rsidRoot w:val="0079222A"/>
    <w:rsid w:val="00000A86"/>
    <w:rsid w:val="00000C2E"/>
    <w:rsid w:val="00001A9F"/>
    <w:rsid w:val="000031AC"/>
    <w:rsid w:val="000052B9"/>
    <w:rsid w:val="000060B3"/>
    <w:rsid w:val="000074AD"/>
    <w:rsid w:val="00007565"/>
    <w:rsid w:val="000177E3"/>
    <w:rsid w:val="000216FB"/>
    <w:rsid w:val="00021B1F"/>
    <w:rsid w:val="00021CD8"/>
    <w:rsid w:val="000238C6"/>
    <w:rsid w:val="0002450F"/>
    <w:rsid w:val="00024B73"/>
    <w:rsid w:val="0002542A"/>
    <w:rsid w:val="000266C3"/>
    <w:rsid w:val="00030576"/>
    <w:rsid w:val="00036D51"/>
    <w:rsid w:val="00036F16"/>
    <w:rsid w:val="000379FE"/>
    <w:rsid w:val="00037A6E"/>
    <w:rsid w:val="00042A9D"/>
    <w:rsid w:val="000446DE"/>
    <w:rsid w:val="00051DC6"/>
    <w:rsid w:val="0005231A"/>
    <w:rsid w:val="0005328B"/>
    <w:rsid w:val="00053367"/>
    <w:rsid w:val="00053AC2"/>
    <w:rsid w:val="00054ECC"/>
    <w:rsid w:val="0006106A"/>
    <w:rsid w:val="00061C00"/>
    <w:rsid w:val="000632C4"/>
    <w:rsid w:val="0006518D"/>
    <w:rsid w:val="000672CB"/>
    <w:rsid w:val="000673FA"/>
    <w:rsid w:val="00070571"/>
    <w:rsid w:val="00071FC9"/>
    <w:rsid w:val="00075CBE"/>
    <w:rsid w:val="000765B6"/>
    <w:rsid w:val="000770D5"/>
    <w:rsid w:val="00077807"/>
    <w:rsid w:val="00077DA4"/>
    <w:rsid w:val="00080CAE"/>
    <w:rsid w:val="00081553"/>
    <w:rsid w:val="0008424C"/>
    <w:rsid w:val="00085741"/>
    <w:rsid w:val="00086A31"/>
    <w:rsid w:val="00086A88"/>
    <w:rsid w:val="00087470"/>
    <w:rsid w:val="000901C0"/>
    <w:rsid w:val="00091641"/>
    <w:rsid w:val="00091DC7"/>
    <w:rsid w:val="00091EA5"/>
    <w:rsid w:val="000921B1"/>
    <w:rsid w:val="00092216"/>
    <w:rsid w:val="00093D5D"/>
    <w:rsid w:val="00096C34"/>
    <w:rsid w:val="00096E87"/>
    <w:rsid w:val="000972DA"/>
    <w:rsid w:val="00097D5D"/>
    <w:rsid w:val="000A054E"/>
    <w:rsid w:val="000A3CC1"/>
    <w:rsid w:val="000A4A32"/>
    <w:rsid w:val="000A4C50"/>
    <w:rsid w:val="000A6993"/>
    <w:rsid w:val="000A6FD4"/>
    <w:rsid w:val="000B266D"/>
    <w:rsid w:val="000B5666"/>
    <w:rsid w:val="000B6836"/>
    <w:rsid w:val="000C0ABB"/>
    <w:rsid w:val="000C1318"/>
    <w:rsid w:val="000C1AD5"/>
    <w:rsid w:val="000C30B4"/>
    <w:rsid w:val="000C321B"/>
    <w:rsid w:val="000C53F8"/>
    <w:rsid w:val="000C54F5"/>
    <w:rsid w:val="000C7070"/>
    <w:rsid w:val="000D2082"/>
    <w:rsid w:val="000D208D"/>
    <w:rsid w:val="000D49DF"/>
    <w:rsid w:val="000E0A8A"/>
    <w:rsid w:val="000E2AA2"/>
    <w:rsid w:val="000E3B3C"/>
    <w:rsid w:val="000E4757"/>
    <w:rsid w:val="000E5A12"/>
    <w:rsid w:val="000E5A28"/>
    <w:rsid w:val="000E5EBA"/>
    <w:rsid w:val="000E6E79"/>
    <w:rsid w:val="000F0149"/>
    <w:rsid w:val="000F15FA"/>
    <w:rsid w:val="000F3A83"/>
    <w:rsid w:val="000F5621"/>
    <w:rsid w:val="000F582B"/>
    <w:rsid w:val="000F5C6D"/>
    <w:rsid w:val="000F5F72"/>
    <w:rsid w:val="000F7D30"/>
    <w:rsid w:val="001011A7"/>
    <w:rsid w:val="00101AEC"/>
    <w:rsid w:val="00103CC4"/>
    <w:rsid w:val="0010509C"/>
    <w:rsid w:val="00105F97"/>
    <w:rsid w:val="00110C9F"/>
    <w:rsid w:val="00111042"/>
    <w:rsid w:val="00112A1F"/>
    <w:rsid w:val="00112B1A"/>
    <w:rsid w:val="00113B11"/>
    <w:rsid w:val="00113FD6"/>
    <w:rsid w:val="001140DA"/>
    <w:rsid w:val="00115B0C"/>
    <w:rsid w:val="001171E5"/>
    <w:rsid w:val="00120699"/>
    <w:rsid w:val="00123683"/>
    <w:rsid w:val="001236C8"/>
    <w:rsid w:val="0012670A"/>
    <w:rsid w:val="00126E5B"/>
    <w:rsid w:val="001279DD"/>
    <w:rsid w:val="0013030B"/>
    <w:rsid w:val="00130704"/>
    <w:rsid w:val="00130E52"/>
    <w:rsid w:val="001321A5"/>
    <w:rsid w:val="001325A7"/>
    <w:rsid w:val="0013270C"/>
    <w:rsid w:val="00132F06"/>
    <w:rsid w:val="00136173"/>
    <w:rsid w:val="001400AD"/>
    <w:rsid w:val="00141D02"/>
    <w:rsid w:val="00142487"/>
    <w:rsid w:val="00143859"/>
    <w:rsid w:val="001444EF"/>
    <w:rsid w:val="0014516B"/>
    <w:rsid w:val="00150BC9"/>
    <w:rsid w:val="00152401"/>
    <w:rsid w:val="0015473B"/>
    <w:rsid w:val="00155FEE"/>
    <w:rsid w:val="00156726"/>
    <w:rsid w:val="00156BC5"/>
    <w:rsid w:val="001579F7"/>
    <w:rsid w:val="00157A96"/>
    <w:rsid w:val="00160DF6"/>
    <w:rsid w:val="00162D40"/>
    <w:rsid w:val="00163346"/>
    <w:rsid w:val="00163389"/>
    <w:rsid w:val="00164484"/>
    <w:rsid w:val="00164557"/>
    <w:rsid w:val="00164B3C"/>
    <w:rsid w:val="0016692E"/>
    <w:rsid w:val="0017050B"/>
    <w:rsid w:val="00171420"/>
    <w:rsid w:val="001722C4"/>
    <w:rsid w:val="00172F87"/>
    <w:rsid w:val="001749EA"/>
    <w:rsid w:val="0017578F"/>
    <w:rsid w:val="00181B36"/>
    <w:rsid w:val="001826D0"/>
    <w:rsid w:val="00183510"/>
    <w:rsid w:val="001840BE"/>
    <w:rsid w:val="00184A07"/>
    <w:rsid w:val="00190D3B"/>
    <w:rsid w:val="001930C7"/>
    <w:rsid w:val="001934EC"/>
    <w:rsid w:val="00193CF0"/>
    <w:rsid w:val="00194EC7"/>
    <w:rsid w:val="001A1F3F"/>
    <w:rsid w:val="001A2ACA"/>
    <w:rsid w:val="001A4FC3"/>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69EA"/>
    <w:rsid w:val="001E7283"/>
    <w:rsid w:val="001F1C16"/>
    <w:rsid w:val="001F1E3C"/>
    <w:rsid w:val="001F2B3C"/>
    <w:rsid w:val="001F310A"/>
    <w:rsid w:val="001F59D4"/>
    <w:rsid w:val="001F605E"/>
    <w:rsid w:val="001F616A"/>
    <w:rsid w:val="001F70E7"/>
    <w:rsid w:val="001F7617"/>
    <w:rsid w:val="001F7892"/>
    <w:rsid w:val="001F7FB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27FF6"/>
    <w:rsid w:val="0023044B"/>
    <w:rsid w:val="00230F7C"/>
    <w:rsid w:val="00231DF6"/>
    <w:rsid w:val="00233A4D"/>
    <w:rsid w:val="00234986"/>
    <w:rsid w:val="0024000C"/>
    <w:rsid w:val="002413F2"/>
    <w:rsid w:val="00244E76"/>
    <w:rsid w:val="002451F0"/>
    <w:rsid w:val="00245AE7"/>
    <w:rsid w:val="0024754A"/>
    <w:rsid w:val="002505F1"/>
    <w:rsid w:val="00250787"/>
    <w:rsid w:val="002542CB"/>
    <w:rsid w:val="002555C4"/>
    <w:rsid w:val="00255BDD"/>
    <w:rsid w:val="00256E48"/>
    <w:rsid w:val="002625B0"/>
    <w:rsid w:val="00263EEA"/>
    <w:rsid w:val="0026452D"/>
    <w:rsid w:val="00264FBD"/>
    <w:rsid w:val="002650CC"/>
    <w:rsid w:val="0026791E"/>
    <w:rsid w:val="00271031"/>
    <w:rsid w:val="00272B01"/>
    <w:rsid w:val="00274077"/>
    <w:rsid w:val="002811B4"/>
    <w:rsid w:val="00281F47"/>
    <w:rsid w:val="0028292B"/>
    <w:rsid w:val="00282CA0"/>
    <w:rsid w:val="002839F0"/>
    <w:rsid w:val="00283EDE"/>
    <w:rsid w:val="00286521"/>
    <w:rsid w:val="00286F35"/>
    <w:rsid w:val="00287DA8"/>
    <w:rsid w:val="00290046"/>
    <w:rsid w:val="00293A7B"/>
    <w:rsid w:val="002948FB"/>
    <w:rsid w:val="002A24E3"/>
    <w:rsid w:val="002B1FE8"/>
    <w:rsid w:val="002B297A"/>
    <w:rsid w:val="002B396E"/>
    <w:rsid w:val="002B7D5A"/>
    <w:rsid w:val="002B7D88"/>
    <w:rsid w:val="002C0580"/>
    <w:rsid w:val="002C3E22"/>
    <w:rsid w:val="002C5319"/>
    <w:rsid w:val="002C5D03"/>
    <w:rsid w:val="002D06A4"/>
    <w:rsid w:val="002D168F"/>
    <w:rsid w:val="002D31E1"/>
    <w:rsid w:val="002D5D9A"/>
    <w:rsid w:val="002E31A5"/>
    <w:rsid w:val="002E3A43"/>
    <w:rsid w:val="002E5FA1"/>
    <w:rsid w:val="002E7CC7"/>
    <w:rsid w:val="002F1CE4"/>
    <w:rsid w:val="002F35B0"/>
    <w:rsid w:val="002F35CE"/>
    <w:rsid w:val="002F44BF"/>
    <w:rsid w:val="002F4C54"/>
    <w:rsid w:val="002F7E24"/>
    <w:rsid w:val="0030009E"/>
    <w:rsid w:val="00304B6A"/>
    <w:rsid w:val="003068F7"/>
    <w:rsid w:val="003114BC"/>
    <w:rsid w:val="00311F17"/>
    <w:rsid w:val="00312191"/>
    <w:rsid w:val="003135D5"/>
    <w:rsid w:val="00314AAB"/>
    <w:rsid w:val="0031537E"/>
    <w:rsid w:val="00316AF9"/>
    <w:rsid w:val="00317E3B"/>
    <w:rsid w:val="00320916"/>
    <w:rsid w:val="003217FE"/>
    <w:rsid w:val="00323AC0"/>
    <w:rsid w:val="00323C1D"/>
    <w:rsid w:val="00324E67"/>
    <w:rsid w:val="00325B99"/>
    <w:rsid w:val="00325E7D"/>
    <w:rsid w:val="00326B2D"/>
    <w:rsid w:val="00327CEB"/>
    <w:rsid w:val="00331F7B"/>
    <w:rsid w:val="00332370"/>
    <w:rsid w:val="00335CFE"/>
    <w:rsid w:val="00335DD6"/>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2629"/>
    <w:rsid w:val="00364DDC"/>
    <w:rsid w:val="00365330"/>
    <w:rsid w:val="00365E8D"/>
    <w:rsid w:val="003660A0"/>
    <w:rsid w:val="00366A6E"/>
    <w:rsid w:val="00366AEE"/>
    <w:rsid w:val="00370B30"/>
    <w:rsid w:val="00371C00"/>
    <w:rsid w:val="00373400"/>
    <w:rsid w:val="003747E7"/>
    <w:rsid w:val="00375901"/>
    <w:rsid w:val="003805FA"/>
    <w:rsid w:val="00380E8C"/>
    <w:rsid w:val="0038283F"/>
    <w:rsid w:val="0038670F"/>
    <w:rsid w:val="00391242"/>
    <w:rsid w:val="00392021"/>
    <w:rsid w:val="0039255B"/>
    <w:rsid w:val="003937DB"/>
    <w:rsid w:val="003942E7"/>
    <w:rsid w:val="003943E4"/>
    <w:rsid w:val="0039475E"/>
    <w:rsid w:val="00395DBE"/>
    <w:rsid w:val="00396350"/>
    <w:rsid w:val="00396C3A"/>
    <w:rsid w:val="00397508"/>
    <w:rsid w:val="003A18DE"/>
    <w:rsid w:val="003A301B"/>
    <w:rsid w:val="003A455A"/>
    <w:rsid w:val="003A6A6B"/>
    <w:rsid w:val="003B2D3A"/>
    <w:rsid w:val="003B7E5E"/>
    <w:rsid w:val="003C2E31"/>
    <w:rsid w:val="003C466E"/>
    <w:rsid w:val="003C4A68"/>
    <w:rsid w:val="003C5F89"/>
    <w:rsid w:val="003C76F2"/>
    <w:rsid w:val="003D1F0D"/>
    <w:rsid w:val="003D249E"/>
    <w:rsid w:val="003D58A7"/>
    <w:rsid w:val="003D7B82"/>
    <w:rsid w:val="003E18A4"/>
    <w:rsid w:val="003E1BA9"/>
    <w:rsid w:val="003E1D3C"/>
    <w:rsid w:val="003E4F2B"/>
    <w:rsid w:val="003E6799"/>
    <w:rsid w:val="003E7081"/>
    <w:rsid w:val="003E738B"/>
    <w:rsid w:val="003F06C2"/>
    <w:rsid w:val="003F09A4"/>
    <w:rsid w:val="003F5B30"/>
    <w:rsid w:val="003F6A27"/>
    <w:rsid w:val="00403604"/>
    <w:rsid w:val="00403D42"/>
    <w:rsid w:val="00404105"/>
    <w:rsid w:val="0040677B"/>
    <w:rsid w:val="00410D5A"/>
    <w:rsid w:val="00411427"/>
    <w:rsid w:val="00413060"/>
    <w:rsid w:val="0041311D"/>
    <w:rsid w:val="00415BBC"/>
    <w:rsid w:val="004162B4"/>
    <w:rsid w:val="00421924"/>
    <w:rsid w:val="00421CAA"/>
    <w:rsid w:val="00423224"/>
    <w:rsid w:val="0042571B"/>
    <w:rsid w:val="00425F62"/>
    <w:rsid w:val="00426112"/>
    <w:rsid w:val="004264BB"/>
    <w:rsid w:val="00426E15"/>
    <w:rsid w:val="004302B2"/>
    <w:rsid w:val="00431663"/>
    <w:rsid w:val="00437C12"/>
    <w:rsid w:val="004417D2"/>
    <w:rsid w:val="00441F56"/>
    <w:rsid w:val="00442648"/>
    <w:rsid w:val="00442C09"/>
    <w:rsid w:val="004436B5"/>
    <w:rsid w:val="0044569F"/>
    <w:rsid w:val="0044629F"/>
    <w:rsid w:val="00447210"/>
    <w:rsid w:val="004479E7"/>
    <w:rsid w:val="00450647"/>
    <w:rsid w:val="004518DF"/>
    <w:rsid w:val="00453A2B"/>
    <w:rsid w:val="00453BA5"/>
    <w:rsid w:val="00454581"/>
    <w:rsid w:val="004556E2"/>
    <w:rsid w:val="0045694A"/>
    <w:rsid w:val="004570C6"/>
    <w:rsid w:val="00462E00"/>
    <w:rsid w:val="00464EAD"/>
    <w:rsid w:val="00465022"/>
    <w:rsid w:val="00465050"/>
    <w:rsid w:val="004652C2"/>
    <w:rsid w:val="00465380"/>
    <w:rsid w:val="004653BC"/>
    <w:rsid w:val="00465C99"/>
    <w:rsid w:val="0046763A"/>
    <w:rsid w:val="0047028E"/>
    <w:rsid w:val="00473425"/>
    <w:rsid w:val="004749E0"/>
    <w:rsid w:val="004752FF"/>
    <w:rsid w:val="004757FD"/>
    <w:rsid w:val="00476E07"/>
    <w:rsid w:val="00480016"/>
    <w:rsid w:val="00481F91"/>
    <w:rsid w:val="004841BA"/>
    <w:rsid w:val="004857D1"/>
    <w:rsid w:val="00487F0D"/>
    <w:rsid w:val="004901FD"/>
    <w:rsid w:val="00491013"/>
    <w:rsid w:val="004911D6"/>
    <w:rsid w:val="004913A9"/>
    <w:rsid w:val="0049176E"/>
    <w:rsid w:val="00491C73"/>
    <w:rsid w:val="004922E8"/>
    <w:rsid w:val="00492E31"/>
    <w:rsid w:val="004A259B"/>
    <w:rsid w:val="004A3273"/>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31C"/>
    <w:rsid w:val="004C2EE3"/>
    <w:rsid w:val="004C43C2"/>
    <w:rsid w:val="004C4416"/>
    <w:rsid w:val="004C52F0"/>
    <w:rsid w:val="004C61E3"/>
    <w:rsid w:val="004C67A1"/>
    <w:rsid w:val="004C706A"/>
    <w:rsid w:val="004C7A13"/>
    <w:rsid w:val="004C7AF6"/>
    <w:rsid w:val="004D0238"/>
    <w:rsid w:val="004D049C"/>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7D3"/>
    <w:rsid w:val="00503EB1"/>
    <w:rsid w:val="00505A2C"/>
    <w:rsid w:val="005066D6"/>
    <w:rsid w:val="00507909"/>
    <w:rsid w:val="0051033D"/>
    <w:rsid w:val="00511679"/>
    <w:rsid w:val="00511781"/>
    <w:rsid w:val="00512C41"/>
    <w:rsid w:val="00512C75"/>
    <w:rsid w:val="0051401B"/>
    <w:rsid w:val="00514B50"/>
    <w:rsid w:val="005151CF"/>
    <w:rsid w:val="005153B3"/>
    <w:rsid w:val="0051556A"/>
    <w:rsid w:val="00515B64"/>
    <w:rsid w:val="005271EF"/>
    <w:rsid w:val="00530B63"/>
    <w:rsid w:val="00530FD8"/>
    <w:rsid w:val="00531E4C"/>
    <w:rsid w:val="00533CFC"/>
    <w:rsid w:val="00534F24"/>
    <w:rsid w:val="0053542C"/>
    <w:rsid w:val="005355BA"/>
    <w:rsid w:val="00535ABE"/>
    <w:rsid w:val="00535F48"/>
    <w:rsid w:val="00536FBB"/>
    <w:rsid w:val="00540886"/>
    <w:rsid w:val="0054263F"/>
    <w:rsid w:val="005450B9"/>
    <w:rsid w:val="00546E61"/>
    <w:rsid w:val="00547042"/>
    <w:rsid w:val="00553CA4"/>
    <w:rsid w:val="005542FF"/>
    <w:rsid w:val="00561B2A"/>
    <w:rsid w:val="0056355B"/>
    <w:rsid w:val="005637E1"/>
    <w:rsid w:val="0056389F"/>
    <w:rsid w:val="00565C2F"/>
    <w:rsid w:val="00567D02"/>
    <w:rsid w:val="005710D8"/>
    <w:rsid w:val="00574BDC"/>
    <w:rsid w:val="00576C14"/>
    <w:rsid w:val="00577175"/>
    <w:rsid w:val="005779CE"/>
    <w:rsid w:val="00580646"/>
    <w:rsid w:val="00580D28"/>
    <w:rsid w:val="005832A3"/>
    <w:rsid w:val="0058359A"/>
    <w:rsid w:val="00583D3E"/>
    <w:rsid w:val="00584A34"/>
    <w:rsid w:val="00587888"/>
    <w:rsid w:val="0059044D"/>
    <w:rsid w:val="005918CD"/>
    <w:rsid w:val="00591FFF"/>
    <w:rsid w:val="00593194"/>
    <w:rsid w:val="005931F7"/>
    <w:rsid w:val="00595326"/>
    <w:rsid w:val="00596F41"/>
    <w:rsid w:val="0059775D"/>
    <w:rsid w:val="005A1482"/>
    <w:rsid w:val="005A509B"/>
    <w:rsid w:val="005A61B1"/>
    <w:rsid w:val="005A68FF"/>
    <w:rsid w:val="005A754A"/>
    <w:rsid w:val="005B2C6F"/>
    <w:rsid w:val="005B30E6"/>
    <w:rsid w:val="005B586D"/>
    <w:rsid w:val="005B66BE"/>
    <w:rsid w:val="005B670F"/>
    <w:rsid w:val="005B6C45"/>
    <w:rsid w:val="005B7AFB"/>
    <w:rsid w:val="005C4EC2"/>
    <w:rsid w:val="005C52AA"/>
    <w:rsid w:val="005C6574"/>
    <w:rsid w:val="005C750D"/>
    <w:rsid w:val="005D1985"/>
    <w:rsid w:val="005D1A14"/>
    <w:rsid w:val="005D3B65"/>
    <w:rsid w:val="005D4F6F"/>
    <w:rsid w:val="005D63E5"/>
    <w:rsid w:val="005D643D"/>
    <w:rsid w:val="005E00EA"/>
    <w:rsid w:val="005E11E4"/>
    <w:rsid w:val="005E61F8"/>
    <w:rsid w:val="005F12DA"/>
    <w:rsid w:val="005F1481"/>
    <w:rsid w:val="005F7969"/>
    <w:rsid w:val="0060022A"/>
    <w:rsid w:val="006029CF"/>
    <w:rsid w:val="00603D70"/>
    <w:rsid w:val="00603F56"/>
    <w:rsid w:val="0060482A"/>
    <w:rsid w:val="00605479"/>
    <w:rsid w:val="00610840"/>
    <w:rsid w:val="00611222"/>
    <w:rsid w:val="00611AA6"/>
    <w:rsid w:val="00615D49"/>
    <w:rsid w:val="006169CB"/>
    <w:rsid w:val="006173DD"/>
    <w:rsid w:val="00621F80"/>
    <w:rsid w:val="006242E5"/>
    <w:rsid w:val="0062650E"/>
    <w:rsid w:val="006265C6"/>
    <w:rsid w:val="00630153"/>
    <w:rsid w:val="006322E9"/>
    <w:rsid w:val="00634A49"/>
    <w:rsid w:val="00635013"/>
    <w:rsid w:val="00635442"/>
    <w:rsid w:val="00635866"/>
    <w:rsid w:val="00637B0D"/>
    <w:rsid w:val="00637E51"/>
    <w:rsid w:val="00640C63"/>
    <w:rsid w:val="00642738"/>
    <w:rsid w:val="00642835"/>
    <w:rsid w:val="0064375F"/>
    <w:rsid w:val="0064386B"/>
    <w:rsid w:val="00644E60"/>
    <w:rsid w:val="00646AE8"/>
    <w:rsid w:val="00651232"/>
    <w:rsid w:val="00651BDB"/>
    <w:rsid w:val="00652906"/>
    <w:rsid w:val="00654397"/>
    <w:rsid w:val="00654BDC"/>
    <w:rsid w:val="00654EB6"/>
    <w:rsid w:val="00654F80"/>
    <w:rsid w:val="00655547"/>
    <w:rsid w:val="0065559E"/>
    <w:rsid w:val="00661A80"/>
    <w:rsid w:val="00663914"/>
    <w:rsid w:val="006649AF"/>
    <w:rsid w:val="006657E9"/>
    <w:rsid w:val="0066752C"/>
    <w:rsid w:val="00667E4B"/>
    <w:rsid w:val="006704AD"/>
    <w:rsid w:val="00670B97"/>
    <w:rsid w:val="00670C45"/>
    <w:rsid w:val="00670E53"/>
    <w:rsid w:val="0067624A"/>
    <w:rsid w:val="00676AFF"/>
    <w:rsid w:val="0068082C"/>
    <w:rsid w:val="00681AE2"/>
    <w:rsid w:val="006826AA"/>
    <w:rsid w:val="0068328D"/>
    <w:rsid w:val="00690265"/>
    <w:rsid w:val="00690ACE"/>
    <w:rsid w:val="00691014"/>
    <w:rsid w:val="0069136D"/>
    <w:rsid w:val="006922FF"/>
    <w:rsid w:val="00692E44"/>
    <w:rsid w:val="00693E6F"/>
    <w:rsid w:val="00693F5C"/>
    <w:rsid w:val="00695EF9"/>
    <w:rsid w:val="00696AE6"/>
    <w:rsid w:val="00696F42"/>
    <w:rsid w:val="006979FE"/>
    <w:rsid w:val="006A2D5F"/>
    <w:rsid w:val="006A4915"/>
    <w:rsid w:val="006A5680"/>
    <w:rsid w:val="006B05E4"/>
    <w:rsid w:val="006B1E7A"/>
    <w:rsid w:val="006B34F1"/>
    <w:rsid w:val="006B3913"/>
    <w:rsid w:val="006B4BB9"/>
    <w:rsid w:val="006B6DFD"/>
    <w:rsid w:val="006B740A"/>
    <w:rsid w:val="006B7CA1"/>
    <w:rsid w:val="006C2F3A"/>
    <w:rsid w:val="006C354F"/>
    <w:rsid w:val="006C437D"/>
    <w:rsid w:val="006C56D4"/>
    <w:rsid w:val="006C586F"/>
    <w:rsid w:val="006C725F"/>
    <w:rsid w:val="006C7D26"/>
    <w:rsid w:val="006C7DD5"/>
    <w:rsid w:val="006D13DC"/>
    <w:rsid w:val="006D3EC8"/>
    <w:rsid w:val="006D4C07"/>
    <w:rsid w:val="006D5538"/>
    <w:rsid w:val="006D67D7"/>
    <w:rsid w:val="006D6D82"/>
    <w:rsid w:val="006E0B37"/>
    <w:rsid w:val="006E187A"/>
    <w:rsid w:val="006E1F1F"/>
    <w:rsid w:val="006E2778"/>
    <w:rsid w:val="006E68D8"/>
    <w:rsid w:val="006E7BE7"/>
    <w:rsid w:val="006E7E5E"/>
    <w:rsid w:val="006F22F7"/>
    <w:rsid w:val="006F3971"/>
    <w:rsid w:val="006F6CC2"/>
    <w:rsid w:val="006F7142"/>
    <w:rsid w:val="00701215"/>
    <w:rsid w:val="00703DE8"/>
    <w:rsid w:val="00705602"/>
    <w:rsid w:val="007058B0"/>
    <w:rsid w:val="0070630B"/>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103C"/>
    <w:rsid w:val="0072221F"/>
    <w:rsid w:val="00724576"/>
    <w:rsid w:val="00725899"/>
    <w:rsid w:val="00725E87"/>
    <w:rsid w:val="0073011C"/>
    <w:rsid w:val="00730A46"/>
    <w:rsid w:val="007313F2"/>
    <w:rsid w:val="0073334B"/>
    <w:rsid w:val="00734A34"/>
    <w:rsid w:val="0074019E"/>
    <w:rsid w:val="00740959"/>
    <w:rsid w:val="00740FC2"/>
    <w:rsid w:val="00743597"/>
    <w:rsid w:val="00744A96"/>
    <w:rsid w:val="00745D83"/>
    <w:rsid w:val="00747EBC"/>
    <w:rsid w:val="00751B64"/>
    <w:rsid w:val="00753E6F"/>
    <w:rsid w:val="007552D7"/>
    <w:rsid w:val="007560AB"/>
    <w:rsid w:val="00761ADE"/>
    <w:rsid w:val="00761E9A"/>
    <w:rsid w:val="0076208D"/>
    <w:rsid w:val="00763D71"/>
    <w:rsid w:val="00764ECE"/>
    <w:rsid w:val="007663F7"/>
    <w:rsid w:val="007665DC"/>
    <w:rsid w:val="00767CD0"/>
    <w:rsid w:val="007720DA"/>
    <w:rsid w:val="00772528"/>
    <w:rsid w:val="00772F1C"/>
    <w:rsid w:val="007735BF"/>
    <w:rsid w:val="0077446B"/>
    <w:rsid w:val="00775E80"/>
    <w:rsid w:val="007763C2"/>
    <w:rsid w:val="00776434"/>
    <w:rsid w:val="007775D5"/>
    <w:rsid w:val="007801BA"/>
    <w:rsid w:val="00780601"/>
    <w:rsid w:val="00780660"/>
    <w:rsid w:val="00781273"/>
    <w:rsid w:val="00781561"/>
    <w:rsid w:val="00782EC4"/>
    <w:rsid w:val="00785C25"/>
    <w:rsid w:val="00785E0A"/>
    <w:rsid w:val="00791824"/>
    <w:rsid w:val="0079222A"/>
    <w:rsid w:val="00792529"/>
    <w:rsid w:val="00793042"/>
    <w:rsid w:val="00793B23"/>
    <w:rsid w:val="00794708"/>
    <w:rsid w:val="0079485E"/>
    <w:rsid w:val="00794B0E"/>
    <w:rsid w:val="007958A2"/>
    <w:rsid w:val="00795E1A"/>
    <w:rsid w:val="007961AE"/>
    <w:rsid w:val="007A1F8F"/>
    <w:rsid w:val="007A20D2"/>
    <w:rsid w:val="007A4E43"/>
    <w:rsid w:val="007A5582"/>
    <w:rsid w:val="007A7DDA"/>
    <w:rsid w:val="007B0035"/>
    <w:rsid w:val="007B1FA2"/>
    <w:rsid w:val="007B2AE4"/>
    <w:rsid w:val="007B391F"/>
    <w:rsid w:val="007B575A"/>
    <w:rsid w:val="007B6644"/>
    <w:rsid w:val="007B787D"/>
    <w:rsid w:val="007C13AD"/>
    <w:rsid w:val="007C1AB7"/>
    <w:rsid w:val="007C2C1C"/>
    <w:rsid w:val="007C3342"/>
    <w:rsid w:val="007C358E"/>
    <w:rsid w:val="007C5199"/>
    <w:rsid w:val="007C5B1E"/>
    <w:rsid w:val="007C5E05"/>
    <w:rsid w:val="007C656F"/>
    <w:rsid w:val="007C6CB0"/>
    <w:rsid w:val="007C71FF"/>
    <w:rsid w:val="007C7535"/>
    <w:rsid w:val="007D06BA"/>
    <w:rsid w:val="007D132B"/>
    <w:rsid w:val="007D15E8"/>
    <w:rsid w:val="007D53FF"/>
    <w:rsid w:val="007E0A27"/>
    <w:rsid w:val="007E1540"/>
    <w:rsid w:val="007E3863"/>
    <w:rsid w:val="007E4D57"/>
    <w:rsid w:val="007E7051"/>
    <w:rsid w:val="007E7875"/>
    <w:rsid w:val="007F1BDF"/>
    <w:rsid w:val="007F226E"/>
    <w:rsid w:val="007F3746"/>
    <w:rsid w:val="007F4FCA"/>
    <w:rsid w:val="007F57BB"/>
    <w:rsid w:val="007F5D57"/>
    <w:rsid w:val="007F7303"/>
    <w:rsid w:val="00805079"/>
    <w:rsid w:val="00805570"/>
    <w:rsid w:val="008068C0"/>
    <w:rsid w:val="00807498"/>
    <w:rsid w:val="00815722"/>
    <w:rsid w:val="00816593"/>
    <w:rsid w:val="00817A1A"/>
    <w:rsid w:val="0082423F"/>
    <w:rsid w:val="00825878"/>
    <w:rsid w:val="00825CF4"/>
    <w:rsid w:val="00826253"/>
    <w:rsid w:val="008276CE"/>
    <w:rsid w:val="008301A5"/>
    <w:rsid w:val="00830334"/>
    <w:rsid w:val="00831346"/>
    <w:rsid w:val="00831F7E"/>
    <w:rsid w:val="00832B89"/>
    <w:rsid w:val="00833B95"/>
    <w:rsid w:val="00835D64"/>
    <w:rsid w:val="00836172"/>
    <w:rsid w:val="0083618A"/>
    <w:rsid w:val="00836794"/>
    <w:rsid w:val="008372D8"/>
    <w:rsid w:val="00837FA3"/>
    <w:rsid w:val="00837FF3"/>
    <w:rsid w:val="00841340"/>
    <w:rsid w:val="00844080"/>
    <w:rsid w:val="00846A59"/>
    <w:rsid w:val="00851F8C"/>
    <w:rsid w:val="008543A0"/>
    <w:rsid w:val="008545C8"/>
    <w:rsid w:val="00854CF7"/>
    <w:rsid w:val="00854D07"/>
    <w:rsid w:val="00854F4B"/>
    <w:rsid w:val="00855395"/>
    <w:rsid w:val="00855FB1"/>
    <w:rsid w:val="0085645C"/>
    <w:rsid w:val="00857E62"/>
    <w:rsid w:val="00862DBF"/>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F50"/>
    <w:rsid w:val="008A6099"/>
    <w:rsid w:val="008A610C"/>
    <w:rsid w:val="008A6D18"/>
    <w:rsid w:val="008A7E48"/>
    <w:rsid w:val="008B00C3"/>
    <w:rsid w:val="008B3A9D"/>
    <w:rsid w:val="008B4DEF"/>
    <w:rsid w:val="008B742B"/>
    <w:rsid w:val="008B7B88"/>
    <w:rsid w:val="008C1B43"/>
    <w:rsid w:val="008C2401"/>
    <w:rsid w:val="008C26BE"/>
    <w:rsid w:val="008C2B6F"/>
    <w:rsid w:val="008C3C7A"/>
    <w:rsid w:val="008D1439"/>
    <w:rsid w:val="008D1B47"/>
    <w:rsid w:val="008D2034"/>
    <w:rsid w:val="008D2C1E"/>
    <w:rsid w:val="008D3DA7"/>
    <w:rsid w:val="008D6E1A"/>
    <w:rsid w:val="008D73D6"/>
    <w:rsid w:val="008D74C4"/>
    <w:rsid w:val="008E0126"/>
    <w:rsid w:val="008E0FA9"/>
    <w:rsid w:val="008E660A"/>
    <w:rsid w:val="008E7179"/>
    <w:rsid w:val="008E7FC0"/>
    <w:rsid w:val="008F1687"/>
    <w:rsid w:val="008F23B7"/>
    <w:rsid w:val="008F2692"/>
    <w:rsid w:val="008F34A8"/>
    <w:rsid w:val="008F4412"/>
    <w:rsid w:val="008F4CE0"/>
    <w:rsid w:val="00900A3B"/>
    <w:rsid w:val="00900BF2"/>
    <w:rsid w:val="00900EA8"/>
    <w:rsid w:val="009046C7"/>
    <w:rsid w:val="009129A6"/>
    <w:rsid w:val="00913FAD"/>
    <w:rsid w:val="009162B1"/>
    <w:rsid w:val="0091662E"/>
    <w:rsid w:val="0091663B"/>
    <w:rsid w:val="009166DD"/>
    <w:rsid w:val="00916CE1"/>
    <w:rsid w:val="0092207F"/>
    <w:rsid w:val="00924396"/>
    <w:rsid w:val="00924B42"/>
    <w:rsid w:val="009264FC"/>
    <w:rsid w:val="00932E40"/>
    <w:rsid w:val="009330A8"/>
    <w:rsid w:val="00936B42"/>
    <w:rsid w:val="00937065"/>
    <w:rsid w:val="00937238"/>
    <w:rsid w:val="00937686"/>
    <w:rsid w:val="00937833"/>
    <w:rsid w:val="009438CC"/>
    <w:rsid w:val="009439FA"/>
    <w:rsid w:val="00944BD0"/>
    <w:rsid w:val="00944D83"/>
    <w:rsid w:val="0094762D"/>
    <w:rsid w:val="00950D51"/>
    <w:rsid w:val="009521DD"/>
    <w:rsid w:val="00952343"/>
    <w:rsid w:val="00954893"/>
    <w:rsid w:val="009555C2"/>
    <w:rsid w:val="00957A08"/>
    <w:rsid w:val="0096038A"/>
    <w:rsid w:val="0096089A"/>
    <w:rsid w:val="00961025"/>
    <w:rsid w:val="009618A0"/>
    <w:rsid w:val="00963EEC"/>
    <w:rsid w:val="00963EFA"/>
    <w:rsid w:val="00964518"/>
    <w:rsid w:val="00964948"/>
    <w:rsid w:val="00964BD5"/>
    <w:rsid w:val="00966FAD"/>
    <w:rsid w:val="009705B0"/>
    <w:rsid w:val="009733BE"/>
    <w:rsid w:val="0097413E"/>
    <w:rsid w:val="00974AF6"/>
    <w:rsid w:val="00975D9F"/>
    <w:rsid w:val="00976620"/>
    <w:rsid w:val="00976DDB"/>
    <w:rsid w:val="00983BE9"/>
    <w:rsid w:val="00984B89"/>
    <w:rsid w:val="00990C17"/>
    <w:rsid w:val="00991F66"/>
    <w:rsid w:val="00992489"/>
    <w:rsid w:val="00994405"/>
    <w:rsid w:val="0099551D"/>
    <w:rsid w:val="00995C77"/>
    <w:rsid w:val="00996315"/>
    <w:rsid w:val="00996B12"/>
    <w:rsid w:val="00996F15"/>
    <w:rsid w:val="009975A1"/>
    <w:rsid w:val="009A0F05"/>
    <w:rsid w:val="009A0FD0"/>
    <w:rsid w:val="009A1AFC"/>
    <w:rsid w:val="009A380A"/>
    <w:rsid w:val="009A505A"/>
    <w:rsid w:val="009A6855"/>
    <w:rsid w:val="009A7287"/>
    <w:rsid w:val="009B1B6D"/>
    <w:rsid w:val="009B5180"/>
    <w:rsid w:val="009B7B2C"/>
    <w:rsid w:val="009B7E5E"/>
    <w:rsid w:val="009B7FAB"/>
    <w:rsid w:val="009C01F1"/>
    <w:rsid w:val="009C180F"/>
    <w:rsid w:val="009C28A7"/>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9F7184"/>
    <w:rsid w:val="00A007F6"/>
    <w:rsid w:val="00A017E3"/>
    <w:rsid w:val="00A01B5B"/>
    <w:rsid w:val="00A01BF9"/>
    <w:rsid w:val="00A04009"/>
    <w:rsid w:val="00A04FC5"/>
    <w:rsid w:val="00A054B6"/>
    <w:rsid w:val="00A05AE2"/>
    <w:rsid w:val="00A06955"/>
    <w:rsid w:val="00A072DD"/>
    <w:rsid w:val="00A12B15"/>
    <w:rsid w:val="00A13F7F"/>
    <w:rsid w:val="00A153C5"/>
    <w:rsid w:val="00A15A87"/>
    <w:rsid w:val="00A16D0C"/>
    <w:rsid w:val="00A16D7E"/>
    <w:rsid w:val="00A1739D"/>
    <w:rsid w:val="00A20355"/>
    <w:rsid w:val="00A23223"/>
    <w:rsid w:val="00A238E2"/>
    <w:rsid w:val="00A2546C"/>
    <w:rsid w:val="00A258B9"/>
    <w:rsid w:val="00A2591B"/>
    <w:rsid w:val="00A27022"/>
    <w:rsid w:val="00A27AED"/>
    <w:rsid w:val="00A27DE5"/>
    <w:rsid w:val="00A30034"/>
    <w:rsid w:val="00A35400"/>
    <w:rsid w:val="00A367BB"/>
    <w:rsid w:val="00A37DBF"/>
    <w:rsid w:val="00A40530"/>
    <w:rsid w:val="00A416E1"/>
    <w:rsid w:val="00A44F50"/>
    <w:rsid w:val="00A452A8"/>
    <w:rsid w:val="00A46C74"/>
    <w:rsid w:val="00A474E2"/>
    <w:rsid w:val="00A47D80"/>
    <w:rsid w:val="00A515BE"/>
    <w:rsid w:val="00A5184B"/>
    <w:rsid w:val="00A5513A"/>
    <w:rsid w:val="00A576CA"/>
    <w:rsid w:val="00A60053"/>
    <w:rsid w:val="00A6057F"/>
    <w:rsid w:val="00A64DCC"/>
    <w:rsid w:val="00A6534D"/>
    <w:rsid w:val="00A66A27"/>
    <w:rsid w:val="00A66BC4"/>
    <w:rsid w:val="00A67001"/>
    <w:rsid w:val="00A704A1"/>
    <w:rsid w:val="00A70A09"/>
    <w:rsid w:val="00A73793"/>
    <w:rsid w:val="00A740AB"/>
    <w:rsid w:val="00A7560C"/>
    <w:rsid w:val="00A776BD"/>
    <w:rsid w:val="00A81CDA"/>
    <w:rsid w:val="00A8334D"/>
    <w:rsid w:val="00A83776"/>
    <w:rsid w:val="00A840B7"/>
    <w:rsid w:val="00A84138"/>
    <w:rsid w:val="00A84DFF"/>
    <w:rsid w:val="00A8604C"/>
    <w:rsid w:val="00A86072"/>
    <w:rsid w:val="00A90777"/>
    <w:rsid w:val="00A92CA5"/>
    <w:rsid w:val="00A95D4D"/>
    <w:rsid w:val="00A965AC"/>
    <w:rsid w:val="00A97570"/>
    <w:rsid w:val="00A9766A"/>
    <w:rsid w:val="00AA3688"/>
    <w:rsid w:val="00AA488B"/>
    <w:rsid w:val="00AA4E30"/>
    <w:rsid w:val="00AA6471"/>
    <w:rsid w:val="00AA7A72"/>
    <w:rsid w:val="00AA7F1C"/>
    <w:rsid w:val="00AB056B"/>
    <w:rsid w:val="00AB3417"/>
    <w:rsid w:val="00AB3B50"/>
    <w:rsid w:val="00AB7903"/>
    <w:rsid w:val="00AC060F"/>
    <w:rsid w:val="00AC0AFA"/>
    <w:rsid w:val="00AC1072"/>
    <w:rsid w:val="00AC1B1A"/>
    <w:rsid w:val="00AC2720"/>
    <w:rsid w:val="00AC2BBE"/>
    <w:rsid w:val="00AC3789"/>
    <w:rsid w:val="00AC503B"/>
    <w:rsid w:val="00AC5C9E"/>
    <w:rsid w:val="00AC63C2"/>
    <w:rsid w:val="00AD087C"/>
    <w:rsid w:val="00AD0A79"/>
    <w:rsid w:val="00AD1467"/>
    <w:rsid w:val="00AD206E"/>
    <w:rsid w:val="00AD3EC6"/>
    <w:rsid w:val="00AE0D52"/>
    <w:rsid w:val="00AE1663"/>
    <w:rsid w:val="00AE2D2E"/>
    <w:rsid w:val="00AE44C7"/>
    <w:rsid w:val="00AE65C7"/>
    <w:rsid w:val="00AE6E44"/>
    <w:rsid w:val="00AE7110"/>
    <w:rsid w:val="00AF0600"/>
    <w:rsid w:val="00AF12CE"/>
    <w:rsid w:val="00AF4DCE"/>
    <w:rsid w:val="00AF579D"/>
    <w:rsid w:val="00AF57BA"/>
    <w:rsid w:val="00AF6FEF"/>
    <w:rsid w:val="00B00C9F"/>
    <w:rsid w:val="00B01B8C"/>
    <w:rsid w:val="00B01E33"/>
    <w:rsid w:val="00B01FA2"/>
    <w:rsid w:val="00B02BD4"/>
    <w:rsid w:val="00B02FD6"/>
    <w:rsid w:val="00B03A0E"/>
    <w:rsid w:val="00B106F1"/>
    <w:rsid w:val="00B125C6"/>
    <w:rsid w:val="00B12FC9"/>
    <w:rsid w:val="00B17B38"/>
    <w:rsid w:val="00B17DB7"/>
    <w:rsid w:val="00B200EB"/>
    <w:rsid w:val="00B20BA2"/>
    <w:rsid w:val="00B2152B"/>
    <w:rsid w:val="00B21829"/>
    <w:rsid w:val="00B2225A"/>
    <w:rsid w:val="00B2367C"/>
    <w:rsid w:val="00B30B24"/>
    <w:rsid w:val="00B32570"/>
    <w:rsid w:val="00B33ECD"/>
    <w:rsid w:val="00B37CD4"/>
    <w:rsid w:val="00B40218"/>
    <w:rsid w:val="00B43EEE"/>
    <w:rsid w:val="00B442FD"/>
    <w:rsid w:val="00B45843"/>
    <w:rsid w:val="00B458E8"/>
    <w:rsid w:val="00B469AA"/>
    <w:rsid w:val="00B469DA"/>
    <w:rsid w:val="00B502B8"/>
    <w:rsid w:val="00B51C5A"/>
    <w:rsid w:val="00B52653"/>
    <w:rsid w:val="00B52A50"/>
    <w:rsid w:val="00B5452D"/>
    <w:rsid w:val="00B55AD9"/>
    <w:rsid w:val="00B56F0F"/>
    <w:rsid w:val="00B577A0"/>
    <w:rsid w:val="00B609AC"/>
    <w:rsid w:val="00B6137E"/>
    <w:rsid w:val="00B64016"/>
    <w:rsid w:val="00B64071"/>
    <w:rsid w:val="00B64447"/>
    <w:rsid w:val="00B647F0"/>
    <w:rsid w:val="00B6523D"/>
    <w:rsid w:val="00B65BC4"/>
    <w:rsid w:val="00B66F3F"/>
    <w:rsid w:val="00B6730E"/>
    <w:rsid w:val="00B70651"/>
    <w:rsid w:val="00B7066A"/>
    <w:rsid w:val="00B70D20"/>
    <w:rsid w:val="00B70D82"/>
    <w:rsid w:val="00B73E64"/>
    <w:rsid w:val="00B74CC4"/>
    <w:rsid w:val="00B751AC"/>
    <w:rsid w:val="00B813F7"/>
    <w:rsid w:val="00B8162E"/>
    <w:rsid w:val="00B822DE"/>
    <w:rsid w:val="00B84236"/>
    <w:rsid w:val="00B87202"/>
    <w:rsid w:val="00B92EEF"/>
    <w:rsid w:val="00B9498D"/>
    <w:rsid w:val="00B95539"/>
    <w:rsid w:val="00B95D5C"/>
    <w:rsid w:val="00BA0703"/>
    <w:rsid w:val="00BA1EEA"/>
    <w:rsid w:val="00BA1F3F"/>
    <w:rsid w:val="00BA5197"/>
    <w:rsid w:val="00BA5AB4"/>
    <w:rsid w:val="00BA77F1"/>
    <w:rsid w:val="00BA7DC9"/>
    <w:rsid w:val="00BA7F59"/>
    <w:rsid w:val="00BB32A6"/>
    <w:rsid w:val="00BB5941"/>
    <w:rsid w:val="00BC07C4"/>
    <w:rsid w:val="00BC5A83"/>
    <w:rsid w:val="00BC65CF"/>
    <w:rsid w:val="00BC6E1A"/>
    <w:rsid w:val="00BD01D8"/>
    <w:rsid w:val="00BD2883"/>
    <w:rsid w:val="00BD340D"/>
    <w:rsid w:val="00BD379E"/>
    <w:rsid w:val="00BD4D3C"/>
    <w:rsid w:val="00BD5A63"/>
    <w:rsid w:val="00BD5AAA"/>
    <w:rsid w:val="00BD64A0"/>
    <w:rsid w:val="00BE2605"/>
    <w:rsid w:val="00BE31A9"/>
    <w:rsid w:val="00BE3356"/>
    <w:rsid w:val="00BE3EFA"/>
    <w:rsid w:val="00BE3FD1"/>
    <w:rsid w:val="00BE420B"/>
    <w:rsid w:val="00BE6D37"/>
    <w:rsid w:val="00BE77A0"/>
    <w:rsid w:val="00BE7890"/>
    <w:rsid w:val="00BF00D1"/>
    <w:rsid w:val="00BF03A1"/>
    <w:rsid w:val="00BF1443"/>
    <w:rsid w:val="00BF218B"/>
    <w:rsid w:val="00BF4CF6"/>
    <w:rsid w:val="00BF5693"/>
    <w:rsid w:val="00BF6B30"/>
    <w:rsid w:val="00C0094D"/>
    <w:rsid w:val="00C01074"/>
    <w:rsid w:val="00C013C1"/>
    <w:rsid w:val="00C04709"/>
    <w:rsid w:val="00C1155C"/>
    <w:rsid w:val="00C11F23"/>
    <w:rsid w:val="00C131F4"/>
    <w:rsid w:val="00C1359A"/>
    <w:rsid w:val="00C14011"/>
    <w:rsid w:val="00C168DF"/>
    <w:rsid w:val="00C17131"/>
    <w:rsid w:val="00C17C5B"/>
    <w:rsid w:val="00C225DA"/>
    <w:rsid w:val="00C246B2"/>
    <w:rsid w:val="00C26AEC"/>
    <w:rsid w:val="00C310B9"/>
    <w:rsid w:val="00C3143C"/>
    <w:rsid w:val="00C31874"/>
    <w:rsid w:val="00C32831"/>
    <w:rsid w:val="00C32C92"/>
    <w:rsid w:val="00C32FFA"/>
    <w:rsid w:val="00C34503"/>
    <w:rsid w:val="00C3484D"/>
    <w:rsid w:val="00C3686A"/>
    <w:rsid w:val="00C416B4"/>
    <w:rsid w:val="00C43FD5"/>
    <w:rsid w:val="00C4722F"/>
    <w:rsid w:val="00C47746"/>
    <w:rsid w:val="00C5180D"/>
    <w:rsid w:val="00C52762"/>
    <w:rsid w:val="00C5277C"/>
    <w:rsid w:val="00C53690"/>
    <w:rsid w:val="00C53E33"/>
    <w:rsid w:val="00C55C09"/>
    <w:rsid w:val="00C63DD6"/>
    <w:rsid w:val="00C64229"/>
    <w:rsid w:val="00C64DE5"/>
    <w:rsid w:val="00C66C06"/>
    <w:rsid w:val="00C66C8E"/>
    <w:rsid w:val="00C67424"/>
    <w:rsid w:val="00C70D3A"/>
    <w:rsid w:val="00C71337"/>
    <w:rsid w:val="00C73986"/>
    <w:rsid w:val="00C757AB"/>
    <w:rsid w:val="00C7581A"/>
    <w:rsid w:val="00C76F6E"/>
    <w:rsid w:val="00C80C79"/>
    <w:rsid w:val="00C86B55"/>
    <w:rsid w:val="00C87C49"/>
    <w:rsid w:val="00C9247C"/>
    <w:rsid w:val="00C92DD1"/>
    <w:rsid w:val="00C93043"/>
    <w:rsid w:val="00C93371"/>
    <w:rsid w:val="00C93753"/>
    <w:rsid w:val="00C94DED"/>
    <w:rsid w:val="00C9534C"/>
    <w:rsid w:val="00C955FD"/>
    <w:rsid w:val="00C956CE"/>
    <w:rsid w:val="00C95CA7"/>
    <w:rsid w:val="00CA4760"/>
    <w:rsid w:val="00CA492F"/>
    <w:rsid w:val="00CA73FC"/>
    <w:rsid w:val="00CA7531"/>
    <w:rsid w:val="00CA7FAB"/>
    <w:rsid w:val="00CB1755"/>
    <w:rsid w:val="00CB1DE6"/>
    <w:rsid w:val="00CB270A"/>
    <w:rsid w:val="00CB3A3F"/>
    <w:rsid w:val="00CB3C6E"/>
    <w:rsid w:val="00CB4055"/>
    <w:rsid w:val="00CB4B99"/>
    <w:rsid w:val="00CB6372"/>
    <w:rsid w:val="00CB7334"/>
    <w:rsid w:val="00CB762B"/>
    <w:rsid w:val="00CC0ACA"/>
    <w:rsid w:val="00CC1C7B"/>
    <w:rsid w:val="00CC3FC1"/>
    <w:rsid w:val="00CC459D"/>
    <w:rsid w:val="00CC5470"/>
    <w:rsid w:val="00CC675A"/>
    <w:rsid w:val="00CC77E4"/>
    <w:rsid w:val="00CD1311"/>
    <w:rsid w:val="00CD2B04"/>
    <w:rsid w:val="00CD2FC9"/>
    <w:rsid w:val="00CD402C"/>
    <w:rsid w:val="00CD577E"/>
    <w:rsid w:val="00CD6DAE"/>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5E95"/>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6065"/>
    <w:rsid w:val="00D56E35"/>
    <w:rsid w:val="00D648E2"/>
    <w:rsid w:val="00D64FD7"/>
    <w:rsid w:val="00D71634"/>
    <w:rsid w:val="00D7191C"/>
    <w:rsid w:val="00D73F72"/>
    <w:rsid w:val="00D7599C"/>
    <w:rsid w:val="00D75BCA"/>
    <w:rsid w:val="00D832B1"/>
    <w:rsid w:val="00D83465"/>
    <w:rsid w:val="00D84D01"/>
    <w:rsid w:val="00D85E48"/>
    <w:rsid w:val="00D86446"/>
    <w:rsid w:val="00D8687A"/>
    <w:rsid w:val="00D8788E"/>
    <w:rsid w:val="00D87B48"/>
    <w:rsid w:val="00D90372"/>
    <w:rsid w:val="00D91166"/>
    <w:rsid w:val="00D91860"/>
    <w:rsid w:val="00D93A70"/>
    <w:rsid w:val="00D96177"/>
    <w:rsid w:val="00D978A4"/>
    <w:rsid w:val="00DA0DFD"/>
    <w:rsid w:val="00DA0E96"/>
    <w:rsid w:val="00DA2937"/>
    <w:rsid w:val="00DA2D89"/>
    <w:rsid w:val="00DA4074"/>
    <w:rsid w:val="00DA7F8B"/>
    <w:rsid w:val="00DB0F91"/>
    <w:rsid w:val="00DB19C9"/>
    <w:rsid w:val="00DB4163"/>
    <w:rsid w:val="00DB41C9"/>
    <w:rsid w:val="00DB6A59"/>
    <w:rsid w:val="00DB6BC7"/>
    <w:rsid w:val="00DB774F"/>
    <w:rsid w:val="00DC2B97"/>
    <w:rsid w:val="00DC44DA"/>
    <w:rsid w:val="00DC4B28"/>
    <w:rsid w:val="00DC4EC1"/>
    <w:rsid w:val="00DC5128"/>
    <w:rsid w:val="00DC5214"/>
    <w:rsid w:val="00DC7074"/>
    <w:rsid w:val="00DC740A"/>
    <w:rsid w:val="00DD0114"/>
    <w:rsid w:val="00DD0B94"/>
    <w:rsid w:val="00DD1B9E"/>
    <w:rsid w:val="00DD4943"/>
    <w:rsid w:val="00DD4B5A"/>
    <w:rsid w:val="00DD4BE5"/>
    <w:rsid w:val="00DD5971"/>
    <w:rsid w:val="00DD7008"/>
    <w:rsid w:val="00DE2A35"/>
    <w:rsid w:val="00DE3650"/>
    <w:rsid w:val="00DE4EA1"/>
    <w:rsid w:val="00DE6B18"/>
    <w:rsid w:val="00DE74F0"/>
    <w:rsid w:val="00DE75A9"/>
    <w:rsid w:val="00DF5C48"/>
    <w:rsid w:val="00DF656B"/>
    <w:rsid w:val="00DF66F5"/>
    <w:rsid w:val="00DF7ABC"/>
    <w:rsid w:val="00E00114"/>
    <w:rsid w:val="00E0279C"/>
    <w:rsid w:val="00E02E71"/>
    <w:rsid w:val="00E059B7"/>
    <w:rsid w:val="00E05E81"/>
    <w:rsid w:val="00E0601A"/>
    <w:rsid w:val="00E10D5F"/>
    <w:rsid w:val="00E112A2"/>
    <w:rsid w:val="00E13F06"/>
    <w:rsid w:val="00E153E2"/>
    <w:rsid w:val="00E174DF"/>
    <w:rsid w:val="00E20144"/>
    <w:rsid w:val="00E26DEB"/>
    <w:rsid w:val="00E27373"/>
    <w:rsid w:val="00E30046"/>
    <w:rsid w:val="00E30BA8"/>
    <w:rsid w:val="00E31782"/>
    <w:rsid w:val="00E33C3C"/>
    <w:rsid w:val="00E34167"/>
    <w:rsid w:val="00E40CDF"/>
    <w:rsid w:val="00E415EC"/>
    <w:rsid w:val="00E43B33"/>
    <w:rsid w:val="00E43ECB"/>
    <w:rsid w:val="00E4580F"/>
    <w:rsid w:val="00E467EB"/>
    <w:rsid w:val="00E50CA5"/>
    <w:rsid w:val="00E5501B"/>
    <w:rsid w:val="00E558F1"/>
    <w:rsid w:val="00E55D6F"/>
    <w:rsid w:val="00E55F81"/>
    <w:rsid w:val="00E5634B"/>
    <w:rsid w:val="00E56B30"/>
    <w:rsid w:val="00E56E5C"/>
    <w:rsid w:val="00E60714"/>
    <w:rsid w:val="00E61ABA"/>
    <w:rsid w:val="00E63331"/>
    <w:rsid w:val="00E63A0F"/>
    <w:rsid w:val="00E65BE5"/>
    <w:rsid w:val="00E67D28"/>
    <w:rsid w:val="00E7084F"/>
    <w:rsid w:val="00E7152C"/>
    <w:rsid w:val="00E72695"/>
    <w:rsid w:val="00E7321B"/>
    <w:rsid w:val="00E73AC6"/>
    <w:rsid w:val="00E766E8"/>
    <w:rsid w:val="00E81872"/>
    <w:rsid w:val="00E8311C"/>
    <w:rsid w:val="00E83BBD"/>
    <w:rsid w:val="00E87731"/>
    <w:rsid w:val="00E92121"/>
    <w:rsid w:val="00E92125"/>
    <w:rsid w:val="00E94892"/>
    <w:rsid w:val="00E96099"/>
    <w:rsid w:val="00E965BD"/>
    <w:rsid w:val="00EA0092"/>
    <w:rsid w:val="00EA0AF0"/>
    <w:rsid w:val="00EA15E6"/>
    <w:rsid w:val="00EA35E1"/>
    <w:rsid w:val="00EA3DD8"/>
    <w:rsid w:val="00EA6513"/>
    <w:rsid w:val="00EA7AD3"/>
    <w:rsid w:val="00EB0F90"/>
    <w:rsid w:val="00EB14F9"/>
    <w:rsid w:val="00EB15FC"/>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4687"/>
    <w:rsid w:val="00EE5DDD"/>
    <w:rsid w:val="00EE659B"/>
    <w:rsid w:val="00EF0889"/>
    <w:rsid w:val="00EF1974"/>
    <w:rsid w:val="00EF1F1E"/>
    <w:rsid w:val="00EF2A51"/>
    <w:rsid w:val="00EF4808"/>
    <w:rsid w:val="00EF48C8"/>
    <w:rsid w:val="00EF6007"/>
    <w:rsid w:val="00EF666C"/>
    <w:rsid w:val="00EF6BA2"/>
    <w:rsid w:val="00EF70E1"/>
    <w:rsid w:val="00EF7F65"/>
    <w:rsid w:val="00F000BB"/>
    <w:rsid w:val="00F01A46"/>
    <w:rsid w:val="00F076D7"/>
    <w:rsid w:val="00F07CBE"/>
    <w:rsid w:val="00F103D4"/>
    <w:rsid w:val="00F10E7B"/>
    <w:rsid w:val="00F11FAC"/>
    <w:rsid w:val="00F1251D"/>
    <w:rsid w:val="00F129E3"/>
    <w:rsid w:val="00F14CB4"/>
    <w:rsid w:val="00F15E36"/>
    <w:rsid w:val="00F1761E"/>
    <w:rsid w:val="00F2299F"/>
    <w:rsid w:val="00F23077"/>
    <w:rsid w:val="00F2452C"/>
    <w:rsid w:val="00F24612"/>
    <w:rsid w:val="00F24DAF"/>
    <w:rsid w:val="00F24F87"/>
    <w:rsid w:val="00F250B9"/>
    <w:rsid w:val="00F256CE"/>
    <w:rsid w:val="00F2770A"/>
    <w:rsid w:val="00F32444"/>
    <w:rsid w:val="00F329AA"/>
    <w:rsid w:val="00F32D3F"/>
    <w:rsid w:val="00F35D9E"/>
    <w:rsid w:val="00F372C4"/>
    <w:rsid w:val="00F404AD"/>
    <w:rsid w:val="00F41278"/>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5446"/>
    <w:rsid w:val="00F66962"/>
    <w:rsid w:val="00F6756B"/>
    <w:rsid w:val="00F71902"/>
    <w:rsid w:val="00F71BC1"/>
    <w:rsid w:val="00F73381"/>
    <w:rsid w:val="00F75964"/>
    <w:rsid w:val="00F77223"/>
    <w:rsid w:val="00F8022C"/>
    <w:rsid w:val="00F83826"/>
    <w:rsid w:val="00F847C2"/>
    <w:rsid w:val="00F85BE4"/>
    <w:rsid w:val="00F86DBA"/>
    <w:rsid w:val="00F9099A"/>
    <w:rsid w:val="00F90FBC"/>
    <w:rsid w:val="00F91B6A"/>
    <w:rsid w:val="00F92C78"/>
    <w:rsid w:val="00F930FA"/>
    <w:rsid w:val="00F9467C"/>
    <w:rsid w:val="00F94AC5"/>
    <w:rsid w:val="00F94BE6"/>
    <w:rsid w:val="00F95D64"/>
    <w:rsid w:val="00F9699E"/>
    <w:rsid w:val="00F96B9E"/>
    <w:rsid w:val="00F9737F"/>
    <w:rsid w:val="00FA1901"/>
    <w:rsid w:val="00FA2A78"/>
    <w:rsid w:val="00FA35E4"/>
    <w:rsid w:val="00FA49B9"/>
    <w:rsid w:val="00FA4D26"/>
    <w:rsid w:val="00FA524A"/>
    <w:rsid w:val="00FA63AD"/>
    <w:rsid w:val="00FA6F77"/>
    <w:rsid w:val="00FB1AC0"/>
    <w:rsid w:val="00FB1B0E"/>
    <w:rsid w:val="00FB21CF"/>
    <w:rsid w:val="00FB4162"/>
    <w:rsid w:val="00FB42E3"/>
    <w:rsid w:val="00FB7FF6"/>
    <w:rsid w:val="00FC1427"/>
    <w:rsid w:val="00FC179E"/>
    <w:rsid w:val="00FC185F"/>
    <w:rsid w:val="00FC243A"/>
    <w:rsid w:val="00FC3973"/>
    <w:rsid w:val="00FC3C0A"/>
    <w:rsid w:val="00FD009B"/>
    <w:rsid w:val="00FD0BE1"/>
    <w:rsid w:val="00FD0E00"/>
    <w:rsid w:val="00FD208D"/>
    <w:rsid w:val="00FD2098"/>
    <w:rsid w:val="00FD302F"/>
    <w:rsid w:val="00FD3925"/>
    <w:rsid w:val="00FD6E34"/>
    <w:rsid w:val="00FD7DCA"/>
    <w:rsid w:val="00FE03E2"/>
    <w:rsid w:val="00FE3CBD"/>
    <w:rsid w:val="00FE4486"/>
    <w:rsid w:val="00FE6997"/>
    <w:rsid w:val="00FF0468"/>
    <w:rsid w:val="00FF04C5"/>
    <w:rsid w:val="00FF1A6D"/>
    <w:rsid w:val="00FF203E"/>
    <w:rsid w:val="00FF20E9"/>
    <w:rsid w:val="00FF4AF8"/>
    <w:rsid w:val="00FF5585"/>
    <w:rsid w:val="00FF5DD3"/>
    <w:rsid w:val="00FF6145"/>
    <w:rsid w:val="00FF661C"/>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0F"/>
    <w:pPr>
      <w:spacing w:after="200" w:line="276" w:lineRule="auto"/>
    </w:pPr>
    <w:rPr>
      <w:sz w:val="22"/>
      <w:szCs w:val="22"/>
      <w:lang w:eastAsia="en-US"/>
    </w:rPr>
  </w:style>
  <w:style w:type="paragraph" w:styleId="Heading1">
    <w:name w:val="heading 1"/>
    <w:basedOn w:val="Normal"/>
    <w:next w:val="Normal"/>
    <w:link w:val="Heading1Char"/>
    <w:uiPriority w:val="9"/>
    <w:qFormat/>
    <w:rsid w:val="001934E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E738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2A"/>
    <w:rPr>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unhideWhenUsed/>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05"/>
    <w:rPr>
      <w:rFonts w:ascii="Tahoma" w:hAnsi="Tahoma" w:cs="Tahoma"/>
      <w:sz w:val="16"/>
      <w:szCs w:val="16"/>
    </w:rPr>
  </w:style>
  <w:style w:type="character" w:styleId="CommentReference">
    <w:name w:val="annotation reference"/>
    <w:basedOn w:val="DefaultParagraphFont"/>
    <w:uiPriority w:val="99"/>
    <w:semiHidden/>
    <w:unhideWhenUsed/>
    <w:rsid w:val="00BD01D8"/>
    <w:rPr>
      <w:sz w:val="16"/>
      <w:szCs w:val="16"/>
    </w:rPr>
  </w:style>
  <w:style w:type="paragraph" w:styleId="CommentText">
    <w:name w:val="annotation text"/>
    <w:basedOn w:val="Normal"/>
    <w:link w:val="CommentTextChar"/>
    <w:uiPriority w:val="99"/>
    <w:semiHidden/>
    <w:unhideWhenUsed/>
    <w:rsid w:val="00BD01D8"/>
    <w:rPr>
      <w:sz w:val="20"/>
      <w:szCs w:val="20"/>
    </w:rPr>
  </w:style>
  <w:style w:type="character" w:customStyle="1" w:styleId="CommentTextChar">
    <w:name w:val="Comment Text Char"/>
    <w:basedOn w:val="DefaultParagraphFont"/>
    <w:link w:val="CommentText"/>
    <w:uiPriority w:val="99"/>
    <w:semiHidden/>
    <w:rsid w:val="00BD01D8"/>
    <w:rPr>
      <w:lang w:eastAsia="en-US"/>
    </w:rPr>
  </w:style>
  <w:style w:type="paragraph" w:styleId="CommentSubject">
    <w:name w:val="annotation subject"/>
    <w:basedOn w:val="CommentText"/>
    <w:next w:val="CommentText"/>
    <w:link w:val="CommentSubjectChar"/>
    <w:uiPriority w:val="99"/>
    <w:semiHidden/>
    <w:unhideWhenUsed/>
    <w:rsid w:val="00BD01D8"/>
    <w:rPr>
      <w:b/>
      <w:bCs/>
    </w:rPr>
  </w:style>
  <w:style w:type="character" w:customStyle="1" w:styleId="CommentSubjectChar">
    <w:name w:val="Comment Subject Char"/>
    <w:basedOn w:val="CommentTextChar"/>
    <w:link w:val="CommentSubject"/>
    <w:uiPriority w:val="99"/>
    <w:semiHidden/>
    <w:rsid w:val="00BD01D8"/>
    <w:rPr>
      <w:b/>
      <w:bCs/>
    </w:rPr>
  </w:style>
  <w:style w:type="character" w:styleId="FollowedHyperlink">
    <w:name w:val="FollowedHyperlink"/>
    <w:basedOn w:val="DefaultParagraphFont"/>
    <w:uiPriority w:val="99"/>
    <w:semiHidden/>
    <w:unhideWhenUsed/>
    <w:rsid w:val="00693E6F"/>
    <w:rPr>
      <w:color w:val="800080"/>
      <w:u w:val="single"/>
    </w:rPr>
  </w:style>
  <w:style w:type="character" w:customStyle="1" w:styleId="Heading1Char">
    <w:name w:val="Heading 1 Char"/>
    <w:basedOn w:val="DefaultParagraphFont"/>
    <w:link w:val="Heading1"/>
    <w:uiPriority w:val="9"/>
    <w:rsid w:val="001934EC"/>
    <w:rPr>
      <w:rFonts w:ascii="Cambria" w:eastAsia="Times New Roman" w:hAnsi="Cambria" w:cs="Times New Roman"/>
      <w:b/>
      <w:bCs/>
      <w:kern w:val="32"/>
      <w:sz w:val="32"/>
      <w:szCs w:val="32"/>
      <w:lang w:eastAsia="en-US"/>
    </w:rPr>
  </w:style>
  <w:style w:type="paragraph" w:styleId="Header">
    <w:name w:val="header"/>
    <w:basedOn w:val="Normal"/>
    <w:link w:val="HeaderChar"/>
    <w:uiPriority w:val="99"/>
    <w:semiHidden/>
    <w:unhideWhenUsed/>
    <w:rsid w:val="00157A96"/>
    <w:pPr>
      <w:tabs>
        <w:tab w:val="center" w:pos="4513"/>
        <w:tab w:val="right" w:pos="9026"/>
      </w:tabs>
    </w:pPr>
  </w:style>
  <w:style w:type="character" w:customStyle="1" w:styleId="HeaderChar">
    <w:name w:val="Header Char"/>
    <w:basedOn w:val="DefaultParagraphFont"/>
    <w:link w:val="Header"/>
    <w:uiPriority w:val="99"/>
    <w:semiHidden/>
    <w:rsid w:val="00157A96"/>
    <w:rPr>
      <w:sz w:val="22"/>
      <w:szCs w:val="22"/>
      <w:lang w:eastAsia="en-US"/>
    </w:rPr>
  </w:style>
  <w:style w:type="paragraph" w:styleId="Footer">
    <w:name w:val="footer"/>
    <w:basedOn w:val="Normal"/>
    <w:link w:val="FooterChar"/>
    <w:uiPriority w:val="99"/>
    <w:unhideWhenUsed/>
    <w:rsid w:val="00157A96"/>
    <w:pPr>
      <w:tabs>
        <w:tab w:val="center" w:pos="4513"/>
        <w:tab w:val="right" w:pos="9026"/>
      </w:tabs>
    </w:pPr>
  </w:style>
  <w:style w:type="character" w:customStyle="1" w:styleId="FooterChar">
    <w:name w:val="Footer Char"/>
    <w:basedOn w:val="DefaultParagraphFont"/>
    <w:link w:val="Footer"/>
    <w:uiPriority w:val="99"/>
    <w:rsid w:val="00157A96"/>
    <w:rPr>
      <w:sz w:val="22"/>
      <w:szCs w:val="22"/>
      <w:lang w:eastAsia="en-US"/>
    </w:rPr>
  </w:style>
  <w:style w:type="paragraph" w:styleId="FootnoteText">
    <w:name w:val="footnote text"/>
    <w:basedOn w:val="Normal"/>
    <w:link w:val="FootnoteTextChar"/>
    <w:uiPriority w:val="99"/>
    <w:semiHidden/>
    <w:unhideWhenUsed/>
    <w:rsid w:val="00036F16"/>
    <w:rPr>
      <w:sz w:val="20"/>
      <w:szCs w:val="20"/>
    </w:rPr>
  </w:style>
  <w:style w:type="character" w:customStyle="1" w:styleId="FootnoteTextChar">
    <w:name w:val="Footnote Text Char"/>
    <w:basedOn w:val="DefaultParagraphFont"/>
    <w:link w:val="FootnoteText"/>
    <w:uiPriority w:val="99"/>
    <w:semiHidden/>
    <w:rsid w:val="00036F16"/>
    <w:rPr>
      <w:lang w:eastAsia="en-US"/>
    </w:rPr>
  </w:style>
  <w:style w:type="character" w:styleId="FootnoteReference">
    <w:name w:val="footnote reference"/>
    <w:basedOn w:val="DefaultParagraphFont"/>
    <w:uiPriority w:val="99"/>
    <w:semiHidden/>
    <w:unhideWhenUsed/>
    <w:rsid w:val="00036F16"/>
    <w:rPr>
      <w:vertAlign w:val="superscript"/>
    </w:rPr>
  </w:style>
  <w:style w:type="paragraph" w:customStyle="1" w:styleId="AERtitle1">
    <w:name w:val="AER title 1"/>
    <w:qFormat/>
    <w:rsid w:val="003E738B"/>
    <w:pPr>
      <w:spacing w:after="240" w:line="288" w:lineRule="auto"/>
      <w:jc w:val="center"/>
    </w:pPr>
    <w:rPr>
      <w:rFonts w:ascii="Gautami" w:eastAsia="Times New Roman" w:hAnsi="Gautami"/>
      <w:b/>
      <w:sz w:val="40"/>
      <w:szCs w:val="24"/>
    </w:rPr>
  </w:style>
  <w:style w:type="character" w:customStyle="1" w:styleId="Heading2Char">
    <w:name w:val="Heading 2 Char"/>
    <w:basedOn w:val="DefaultParagraphFont"/>
    <w:link w:val="Heading2"/>
    <w:uiPriority w:val="9"/>
    <w:rsid w:val="003E738B"/>
    <w:rPr>
      <w:rFonts w:ascii="Cambria" w:eastAsia="Times New Roman" w:hAnsi="Cambria"/>
      <w:b/>
      <w:bCs/>
      <w:i/>
      <w:iCs/>
      <w:sz w:val="28"/>
      <w:szCs w:val="28"/>
      <w:lang w:eastAsia="en-US"/>
    </w:rPr>
  </w:style>
  <w:style w:type="character" w:customStyle="1" w:styleId="AERbody">
    <w:name w:val="AER body"/>
    <w:basedOn w:val="DefaultParagraphFont"/>
    <w:qFormat/>
    <w:rsid w:val="003E738B"/>
    <w:rPr>
      <w:rFonts w:ascii="Gautami" w:hAnsi="Gautami"/>
      <w:color w:val="auto"/>
      <w:sz w:val="20"/>
    </w:rPr>
  </w:style>
</w:styles>
</file>

<file path=word/webSettings.xml><?xml version="1.0" encoding="utf-8"?>
<w:webSettings xmlns:r="http://schemas.openxmlformats.org/officeDocument/2006/relationships" xmlns:w="http://schemas.openxmlformats.org/wordprocessingml/2006/main">
  <w:divs>
    <w:div w:id="1228148031">
      <w:bodyDiv w:val="1"/>
      <w:marLeft w:val="0"/>
      <w:marRight w:val="0"/>
      <w:marTop w:val="0"/>
      <w:marBottom w:val="0"/>
      <w:divBdr>
        <w:top w:val="none" w:sz="0" w:space="0" w:color="auto"/>
        <w:left w:val="none" w:sz="0" w:space="0" w:color="auto"/>
        <w:bottom w:val="none" w:sz="0" w:space="0" w:color="auto"/>
        <w:right w:val="none" w:sz="0" w:space="0" w:color="auto"/>
      </w:divBdr>
    </w:div>
    <w:div w:id="20984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7C14-22E5-4731-8353-487F2491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Expenditure forecast assessment guideline - stakeholder roundtable minutes - 12 February 2013</vt:lpstr>
    </vt:vector>
  </TitlesOfParts>
  <Company/>
  <LinksUpToDate>false</LinksUpToDate>
  <CharactersWithSpaces>8310</CharactersWithSpaces>
  <SharedDoc>false</SharedDoc>
  <HLinks>
    <vt:vector size="6" baseType="variant">
      <vt:variant>
        <vt:i4>5242884</vt:i4>
      </vt:variant>
      <vt:variant>
        <vt:i4>0</vt:i4>
      </vt:variant>
      <vt:variant>
        <vt:i4>0</vt:i4>
      </vt:variant>
      <vt:variant>
        <vt:i4>5</vt:i4>
      </vt:variant>
      <vt:variant>
        <vt:lpwstr>http://www.aer.gov.au/node/18864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 - stakeholder roundtable minutes - 12 February 2013</dc:title>
  <dc:subject/>
  <dc:creator/>
  <cp:keywords/>
  <dc:description/>
  <cp:lastModifiedBy/>
  <cp:revision>1</cp:revision>
  <dcterms:created xsi:type="dcterms:W3CDTF">2013-05-10T03:31:00Z</dcterms:created>
  <dcterms:modified xsi:type="dcterms:W3CDTF">2013-05-10T03:31:00Z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H:\TRIMDATA\TRIM\TEMP\CONTEXT.1156\D13 49268  Expenditure Forecast Assessment Guidelines Working Group meeting No 5 - 19 March 2013 - Category Assessment - Connections and Customer Driven Works - Summary of meeting - final.DOCX</vt:lpwstr>
  </property>
</Properties>
</file>